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:rsidTr="000A49FB">
        <w:trPr>
          <w:trHeight w:val="680"/>
        </w:trPr>
        <w:tc>
          <w:tcPr>
            <w:tcW w:w="6487" w:type="dxa"/>
            <w:vMerge w:val="restart"/>
            <w:vAlign w:val="center"/>
          </w:tcPr>
          <w:p w:rsidR="00F51B15" w:rsidRPr="000A49FB" w:rsidRDefault="00424FF4" w:rsidP="000A49FB">
            <w:pPr>
              <w:pStyle w:val="Titill"/>
            </w:pPr>
            <w:bookmarkStart w:id="0" w:name="_GoBack"/>
            <w:bookmarkEnd w:id="0"/>
            <w:r>
              <w:t>Pappírsvörur</w:t>
            </w:r>
            <w:r w:rsidR="00F51B15" w:rsidRPr="000A49FB">
              <w:t xml:space="preserve"> - umhverfisskilyrði</w:t>
            </w:r>
          </w:p>
        </w:tc>
        <w:tc>
          <w:tcPr>
            <w:tcW w:w="1011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:rsidR="00F51B15" w:rsidRDefault="00F51B15" w:rsidP="00267188">
            <w:pPr>
              <w:jc w:val="right"/>
            </w:pPr>
            <w:r w:rsidRPr="0069792E">
              <w:t>201</w:t>
            </w:r>
            <w:r w:rsidR="00BE0B7F" w:rsidRPr="0069792E">
              <w:t>3</w:t>
            </w:r>
            <w:r w:rsidRPr="0069792E">
              <w:t>-</w:t>
            </w:r>
            <w:r w:rsidR="00627124" w:rsidRPr="0069792E">
              <w:t>0</w:t>
            </w:r>
            <w:r w:rsidR="00557770" w:rsidRPr="0069792E">
              <w:t>9</w:t>
            </w:r>
            <w:r w:rsidRPr="0069792E">
              <w:t>-</w:t>
            </w:r>
            <w:r w:rsidR="00267188" w:rsidRPr="0069792E">
              <w:t>16</w:t>
            </w:r>
          </w:p>
        </w:tc>
      </w:tr>
      <w:tr w:rsidR="00F51B15" w:rsidTr="000A49FB">
        <w:trPr>
          <w:trHeight w:val="680"/>
        </w:trPr>
        <w:tc>
          <w:tcPr>
            <w:tcW w:w="6487" w:type="dxa"/>
            <w:vMerge/>
            <w:vAlign w:val="center"/>
          </w:tcPr>
          <w:p w:rsidR="00F51B15" w:rsidRDefault="00F51B15"/>
        </w:tc>
        <w:tc>
          <w:tcPr>
            <w:tcW w:w="1011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:rsidR="00F51B15" w:rsidRDefault="00BE0B7F" w:rsidP="00BE0B7F">
            <w:pPr>
              <w:jc w:val="right"/>
            </w:pPr>
            <w:r>
              <w:t>2.0</w:t>
            </w:r>
          </w:p>
        </w:tc>
      </w:tr>
    </w:tbl>
    <w:p w:rsidR="007566D8" w:rsidRPr="00F51B15" w:rsidRDefault="000A49FB" w:rsidP="00994DE5">
      <w:pPr>
        <w:pStyle w:val="Heading1"/>
        <w:numPr>
          <w:ilvl w:val="0"/>
          <w:numId w:val="0"/>
        </w:numPr>
        <w:ind w:left="431" w:hanging="431"/>
      </w:pPr>
      <w:r>
        <w:t>V</w:t>
      </w:r>
      <w:r w:rsidR="007566D8" w:rsidRPr="00F51B15">
        <w:t>iðfangsefni og gildissvið</w:t>
      </w:r>
    </w:p>
    <w:p w:rsidR="002A0F11" w:rsidRDefault="002A0F11" w:rsidP="002A0F11">
      <w:r>
        <w:t xml:space="preserve">Umhverfisskilyrðin eru sett fram á vegum verkefnisins Vistvæn innkaup sem er samstarfsverkefni ríkis og sveitarfélaga, sjá nánar á </w:t>
      </w:r>
      <w:hyperlink r:id="rId9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:rsidR="002A0F11" w:rsidRDefault="002A0F11" w:rsidP="002A0F11">
      <w:pPr>
        <w:rPr>
          <w:color w:val="0000FF"/>
          <w:u w:val="single"/>
        </w:rPr>
      </w:pPr>
      <w:r>
        <w:t>Umhverfisskilyrðin eru</w:t>
      </w:r>
      <w:r w:rsidRPr="00DD1129">
        <w:t xml:space="preserve"> byggð á </w:t>
      </w:r>
      <w:r w:rsidR="00BE0B7F">
        <w:t xml:space="preserve">sænskum </w:t>
      </w:r>
      <w:r w:rsidRPr="00DD1129">
        <w:t xml:space="preserve">viðmiðum </w:t>
      </w:r>
      <w:proofErr w:type="spellStart"/>
      <w:r w:rsidR="00191544">
        <w:t>Miljöstyrningsr</w:t>
      </w:r>
      <w:proofErr w:type="spellEnd"/>
      <w:r w:rsidR="00191544">
        <w:t>ådet</w:t>
      </w:r>
      <w:r>
        <w:t xml:space="preserve">, </w:t>
      </w:r>
      <w:hyperlink r:id="rId10" w:history="1">
        <w:r w:rsidR="00394F78" w:rsidRPr="00394F78">
          <w:rPr>
            <w:color w:val="0000FF"/>
            <w:u w:val="single"/>
          </w:rPr>
          <w:t>http://www.msr.se/Upphandling/Kriterier/Kontor-och-textil/Pappersprodukter/</w:t>
        </w:r>
      </w:hyperlink>
    </w:p>
    <w:p w:rsidR="00B6148D" w:rsidRPr="00B6148D" w:rsidRDefault="00B6148D" w:rsidP="002A0F11">
      <w:pPr>
        <w:rPr>
          <w:i/>
        </w:rPr>
      </w:pPr>
      <w:r w:rsidRPr="00B6148D">
        <w:rPr>
          <w:i/>
        </w:rPr>
        <w:t>Þessi útgáfa leysi</w:t>
      </w:r>
      <w:r>
        <w:rPr>
          <w:i/>
        </w:rPr>
        <w:t>r</w:t>
      </w:r>
      <w:r w:rsidRPr="00B6148D">
        <w:rPr>
          <w:i/>
        </w:rPr>
        <w:t xml:space="preserve"> af hólmi 1. </w:t>
      </w:r>
      <w:r>
        <w:rPr>
          <w:i/>
        </w:rPr>
        <w:t>ú</w:t>
      </w:r>
      <w:r w:rsidRPr="00B6148D">
        <w:rPr>
          <w:i/>
        </w:rPr>
        <w:t>tgáfu af umhverfisskilyrðum fyrir prent- og ljósritunarpappír.</w:t>
      </w:r>
    </w:p>
    <w:p w:rsidR="002A0F11" w:rsidRPr="00064228" w:rsidRDefault="002A0F11" w:rsidP="002A0F11">
      <w:pPr>
        <w:rPr>
          <w:b/>
        </w:rPr>
      </w:pPr>
      <w:r w:rsidRPr="00064228">
        <w:rPr>
          <w:b/>
        </w:rPr>
        <w:t xml:space="preserve">Þessi skilyrði </w:t>
      </w:r>
      <w:r w:rsidR="00627124" w:rsidRPr="00064228">
        <w:rPr>
          <w:b/>
        </w:rPr>
        <w:t xml:space="preserve">taka til </w:t>
      </w:r>
      <w:r w:rsidRPr="00064228">
        <w:rPr>
          <w:b/>
        </w:rPr>
        <w:t>innkaup</w:t>
      </w:r>
      <w:r w:rsidR="00627124" w:rsidRPr="00064228">
        <w:rPr>
          <w:b/>
        </w:rPr>
        <w:t>a</w:t>
      </w:r>
      <w:r w:rsidRPr="00064228">
        <w:rPr>
          <w:b/>
        </w:rPr>
        <w:t xml:space="preserve"> á</w:t>
      </w:r>
      <w:r w:rsidR="00627124" w:rsidRPr="00064228">
        <w:rPr>
          <w:b/>
        </w:rPr>
        <w:t>:</w:t>
      </w:r>
    </w:p>
    <w:p w:rsidR="00660888" w:rsidRPr="00660888" w:rsidRDefault="00123C03" w:rsidP="00784F1C">
      <w:pPr>
        <w:pStyle w:val="ListParagraph"/>
        <w:numPr>
          <w:ilvl w:val="0"/>
          <w:numId w:val="2"/>
        </w:numPr>
        <w:spacing w:after="200"/>
        <w:rPr>
          <w:b/>
        </w:rPr>
      </w:pPr>
      <w:r>
        <w:rPr>
          <w:b/>
          <w:szCs w:val="24"/>
        </w:rPr>
        <w:t>Hreinlætispappír</w:t>
      </w:r>
      <w:r w:rsidR="00660888">
        <w:rPr>
          <w:b/>
          <w:szCs w:val="24"/>
        </w:rPr>
        <w:t xml:space="preserve">: </w:t>
      </w:r>
      <w:r w:rsidR="0019464A">
        <w:rPr>
          <w:szCs w:val="24"/>
        </w:rPr>
        <w:t xml:space="preserve">sem </w:t>
      </w:r>
      <w:r w:rsidR="00061D35">
        <w:rPr>
          <w:szCs w:val="24"/>
        </w:rPr>
        <w:t xml:space="preserve">er </w:t>
      </w:r>
      <w:r w:rsidR="0019464A">
        <w:rPr>
          <w:szCs w:val="24"/>
        </w:rPr>
        <w:t xml:space="preserve">ætlaður til hreinlætisnota, til </w:t>
      </w:r>
      <w:r w:rsidR="00061D35">
        <w:rPr>
          <w:szCs w:val="24"/>
        </w:rPr>
        <w:t>að þ</w:t>
      </w:r>
      <w:r w:rsidR="0019464A">
        <w:rPr>
          <w:szCs w:val="24"/>
        </w:rPr>
        <w:t>urrka</w:t>
      </w:r>
      <w:r w:rsidR="00061D35">
        <w:rPr>
          <w:szCs w:val="24"/>
        </w:rPr>
        <w:t>, þrí</w:t>
      </w:r>
      <w:r w:rsidR="0019464A">
        <w:rPr>
          <w:szCs w:val="24"/>
        </w:rPr>
        <w:t xml:space="preserve">fa og </w:t>
      </w:r>
      <w:r w:rsidR="00061D35">
        <w:rPr>
          <w:szCs w:val="24"/>
        </w:rPr>
        <w:t>þurrka upp</w:t>
      </w:r>
      <w:r w:rsidR="0019464A">
        <w:rPr>
          <w:szCs w:val="24"/>
        </w:rPr>
        <w:t xml:space="preserve"> </w:t>
      </w:r>
      <w:r w:rsidR="00D86DF9" w:rsidRPr="00D86DF9">
        <w:rPr>
          <w:szCs w:val="24"/>
        </w:rPr>
        <w:t>vökva</w:t>
      </w:r>
      <w:r w:rsidR="0019464A" w:rsidRPr="00D86DF9">
        <w:rPr>
          <w:szCs w:val="24"/>
        </w:rPr>
        <w:t>.</w:t>
      </w:r>
      <w:r w:rsidR="0019464A">
        <w:rPr>
          <w:szCs w:val="24"/>
        </w:rPr>
        <w:t xml:space="preserve"> Skilyrðin taka ekki til blautþurrka og </w:t>
      </w:r>
      <w:r w:rsidR="00061D35">
        <w:rPr>
          <w:szCs w:val="24"/>
        </w:rPr>
        <w:t>pappírs</w:t>
      </w:r>
      <w:r w:rsidR="0019464A">
        <w:rPr>
          <w:szCs w:val="24"/>
        </w:rPr>
        <w:t xml:space="preserve"> sem er húðað</w:t>
      </w:r>
      <w:r w:rsidR="00061D35">
        <w:rPr>
          <w:szCs w:val="24"/>
        </w:rPr>
        <w:t>u</w:t>
      </w:r>
      <w:r w:rsidR="0019464A">
        <w:rPr>
          <w:szCs w:val="24"/>
        </w:rPr>
        <w:t xml:space="preserve">r með </w:t>
      </w:r>
      <w:r w:rsidR="00061D35">
        <w:rPr>
          <w:szCs w:val="24"/>
        </w:rPr>
        <w:t xml:space="preserve">trefjalausum efnum (e. </w:t>
      </w:r>
      <w:proofErr w:type="spellStart"/>
      <w:r w:rsidR="0019464A" w:rsidRPr="00B6148D">
        <w:rPr>
          <w:szCs w:val="24"/>
        </w:rPr>
        <w:t>non</w:t>
      </w:r>
      <w:proofErr w:type="spellEnd"/>
      <w:r w:rsidR="0019464A" w:rsidRPr="00B6148D">
        <w:rPr>
          <w:szCs w:val="24"/>
        </w:rPr>
        <w:t>-</w:t>
      </w:r>
      <w:proofErr w:type="spellStart"/>
      <w:r w:rsidR="0019464A" w:rsidRPr="00B6148D">
        <w:rPr>
          <w:szCs w:val="24"/>
        </w:rPr>
        <w:t>cellulose</w:t>
      </w:r>
      <w:proofErr w:type="spellEnd"/>
      <w:r w:rsidR="00061D35">
        <w:rPr>
          <w:szCs w:val="24"/>
        </w:rPr>
        <w:t>)</w:t>
      </w:r>
      <w:r w:rsidR="0019464A">
        <w:rPr>
          <w:szCs w:val="24"/>
        </w:rPr>
        <w:t xml:space="preserve"> eða </w:t>
      </w:r>
      <w:r w:rsidR="00061D35">
        <w:rPr>
          <w:szCs w:val="24"/>
        </w:rPr>
        <w:t>pappírs</w:t>
      </w:r>
      <w:r w:rsidR="0019464A">
        <w:rPr>
          <w:szCs w:val="24"/>
        </w:rPr>
        <w:t xml:space="preserve"> með trefjainnihald undir 90%.</w:t>
      </w:r>
    </w:p>
    <w:p w:rsidR="00123C03" w:rsidRPr="007278D6" w:rsidRDefault="00424FF4" w:rsidP="00784F1C">
      <w:pPr>
        <w:pStyle w:val="ListParagraph"/>
        <w:numPr>
          <w:ilvl w:val="0"/>
          <w:numId w:val="2"/>
        </w:numPr>
        <w:spacing w:after="200"/>
        <w:rPr>
          <w:b/>
        </w:rPr>
      </w:pPr>
      <w:r>
        <w:rPr>
          <w:b/>
        </w:rPr>
        <w:t>Prent- og ljósritunarpappír</w:t>
      </w:r>
      <w:r w:rsidR="0019464A">
        <w:rPr>
          <w:b/>
        </w:rPr>
        <w:t xml:space="preserve">: </w:t>
      </w:r>
      <w:r w:rsidR="00680A59">
        <w:t>sem ætlaður er til að skrifa, prentunar og ljósritunar. Skilyrðin ná ekki til fullunnar pappírsvöru svo sem skrifblokkir, litabækur, dagatöl og handbækur.</w:t>
      </w:r>
    </w:p>
    <w:p w:rsidR="007278D6" w:rsidRPr="007278D6" w:rsidRDefault="007278D6" w:rsidP="00784F1C">
      <w:pPr>
        <w:pStyle w:val="ListParagraph"/>
        <w:numPr>
          <w:ilvl w:val="0"/>
          <w:numId w:val="2"/>
        </w:numPr>
        <w:spacing w:after="200"/>
      </w:pPr>
      <w:r w:rsidRPr="007278D6">
        <w:t>Skilyrðin n</w:t>
      </w:r>
      <w:r>
        <w:t xml:space="preserve">á ekki til </w:t>
      </w:r>
      <w:r w:rsidR="005F6BFB">
        <w:t>endurunnins pappírs.</w:t>
      </w:r>
    </w:p>
    <w:p w:rsidR="0069792E" w:rsidRDefault="0069792E" w:rsidP="00061D35"/>
    <w:p w:rsidR="00061D35" w:rsidRDefault="00061D35" w:rsidP="00061D35">
      <w:r>
        <w:t>Umhverfisskilyrðin skiptast í grunnviðmið og ítarviðmið. Við gerð útboðsgagna er hægt að nýta annað hvort grunn- eða ítarviðmiðin:</w:t>
      </w:r>
    </w:p>
    <w:p w:rsidR="00061D35" w:rsidRDefault="00061D35" w:rsidP="0069792E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rPr>
          <w:b/>
        </w:rPr>
        <w:t>Grunnviðmið</w:t>
      </w:r>
      <w:r>
        <w:t>; með þeim er lögð áhersla á mikilvægustu umhverfisáhrif vörunnar eða þjónustunnar. Viðmiðin eru nokkuð auðvelt að sannreyna að séu uppfyllt.</w:t>
      </w:r>
    </w:p>
    <w:p w:rsidR="00061D35" w:rsidRDefault="00061D35" w:rsidP="00784F1C">
      <w:pPr>
        <w:pStyle w:val="ListParagraph"/>
        <w:numPr>
          <w:ilvl w:val="0"/>
          <w:numId w:val="16"/>
        </w:numPr>
      </w:pPr>
      <w:r>
        <w:rPr>
          <w:b/>
        </w:rPr>
        <w:t>Ítarviðmið</w:t>
      </w:r>
      <w:r>
        <w:t xml:space="preserve">; gera meiri kröfur til vörunnar eða þjónustunnar um að hún sé sú besta á markaðnum. Til að sannreyna að ítarviðmiðin séu uppfyllt getur þurft meiri þekkingu á vistvænum innkaupum. </w:t>
      </w:r>
    </w:p>
    <w:p w:rsidR="00061D35" w:rsidRDefault="00061D35" w:rsidP="00061D35">
      <w:r>
        <w:t>Grunn- og ítarviðmiðin samanstanda af lágmarksskilyrðum og matsviðmiðum:</w:t>
      </w:r>
    </w:p>
    <w:p w:rsidR="00061D35" w:rsidRDefault="00061D35" w:rsidP="00061D35">
      <w:r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2A0F11" w:rsidRPr="00DD1129" w:rsidRDefault="00061D35" w:rsidP="00DA346D">
      <w:r>
        <w:rPr>
          <w:b/>
        </w:rPr>
        <w:t>Matsviðmið</w:t>
      </w:r>
      <w:r>
        <w:t>; má nota ef útboðsaðili vill veita tilboði aukastig sem stendur sig betur en lágmarksskilyrðin segja til um varðandi umhverfisþætti. Í stigagjöf geta matsviðmið fyrir umhverfisþætti vegið 10 til 15% af heildareinkunn.</w:t>
      </w:r>
      <w:r w:rsidR="002A0F11">
        <w:t xml:space="preserve"> </w:t>
      </w:r>
    </w:p>
    <w:p w:rsidR="007566D8" w:rsidRPr="00B6148D" w:rsidRDefault="00064228" w:rsidP="007D3928">
      <w:pPr>
        <w:pStyle w:val="Heading1"/>
        <w:numPr>
          <w:ilvl w:val="0"/>
          <w:numId w:val="0"/>
        </w:numPr>
        <w:ind w:left="431" w:hanging="431"/>
      </w:pPr>
      <w:r w:rsidRPr="00B6148D">
        <w:lastRenderedPageBreak/>
        <w:t>H</w:t>
      </w:r>
      <w:r w:rsidR="00F404FF" w:rsidRPr="00B6148D">
        <w:t>elstu umhverfisáhrif</w:t>
      </w:r>
    </w:p>
    <w:p w:rsidR="007278D6" w:rsidRPr="00B6148D" w:rsidRDefault="007278D6" w:rsidP="007278D6">
      <w:r w:rsidRPr="00B6148D">
        <w:t>Helstu umhverfisáhrif</w:t>
      </w:r>
      <w:r w:rsidR="00450A12" w:rsidRPr="00B6148D">
        <w:t xml:space="preserve"> við</w:t>
      </w:r>
      <w:r w:rsidRPr="00B6148D">
        <w:t xml:space="preserve"> framleiðslu pappírsvara</w:t>
      </w:r>
      <w:r w:rsidR="00450A12" w:rsidRPr="00B6148D">
        <w:t xml:space="preserve"> verða við framleiðslu pappírsmassa</w:t>
      </w:r>
      <w:r w:rsidR="00B6148D" w:rsidRPr="00B6148D">
        <w:t>ns</w:t>
      </w:r>
      <w:r w:rsidR="00450A12" w:rsidRPr="00B6148D">
        <w:t xml:space="preserve"> hráefn</w:t>
      </w:r>
      <w:r w:rsidR="00B6148D" w:rsidRPr="00B6148D">
        <w:t>anotkun</w:t>
      </w:r>
      <w:r w:rsidR="00450A12" w:rsidRPr="00B6148D">
        <w:t xml:space="preserve">, losunar í vatn og andrúmsloft ásamt orkunotkun og þar með </w:t>
      </w:r>
      <w:r w:rsidR="0029069E" w:rsidRPr="00B6148D">
        <w:t>losun gróðurhúsalofttegunda. Viðmiðin í þessu skjali miða að því að draga úr þessum áhrifum.</w:t>
      </w:r>
    </w:p>
    <w:p w:rsidR="0029069E" w:rsidRPr="007278D6" w:rsidRDefault="0029069E" w:rsidP="007278D6">
      <w:pPr>
        <w:rPr>
          <w:highlight w:val="yellow"/>
        </w:rPr>
      </w:pPr>
    </w:p>
    <w:p w:rsidR="00061D35" w:rsidRDefault="00061D35" w:rsidP="00061D35"/>
    <w:p w:rsidR="00061D35" w:rsidRDefault="00061D35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660888" w:rsidRDefault="00576787" w:rsidP="00660888">
      <w:pPr>
        <w:pStyle w:val="Heading1"/>
      </w:pPr>
      <w:bookmarkStart w:id="1" w:name="_HREINLÆTISPAPPÍR"/>
      <w:bookmarkEnd w:id="1"/>
      <w:r>
        <w:lastRenderedPageBreak/>
        <w:t>HREINLÆTISPAPPÍR</w:t>
      </w:r>
    </w:p>
    <w:tbl>
      <w:tblPr>
        <w:tblStyle w:val="TableGrid11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65599B" w:rsidTr="00B614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599B" w:rsidRDefault="0065599B">
            <w:pPr>
              <w:pStyle w:val="Titill"/>
            </w:pPr>
            <w:r>
              <w:t>Grunnviðmið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599B" w:rsidRDefault="0065599B">
            <w:pPr>
              <w:spacing w:before="120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Ítarviðmið</w:t>
            </w:r>
          </w:p>
        </w:tc>
      </w:tr>
      <w:tr w:rsidR="0065599B" w:rsidTr="00B614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599B" w:rsidRDefault="0065599B">
            <w:pPr>
              <w:spacing w:line="276" w:lineRule="auto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599B" w:rsidRDefault="0065599B">
            <w:pPr>
              <w:spacing w:line="276" w:lineRule="auto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</w:tr>
      <w:tr w:rsidR="0065599B" w:rsidTr="00B614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E" w:rsidRPr="006C5B6B" w:rsidRDefault="0082016F" w:rsidP="00784F1C">
            <w:pPr>
              <w:pStyle w:val="ListParagraph"/>
              <w:numPr>
                <w:ilvl w:val="0"/>
                <w:numId w:val="5"/>
              </w:numPr>
              <w:spacing w:after="200"/>
              <w:rPr>
                <w:b/>
              </w:rPr>
            </w:pPr>
            <w:r>
              <w:rPr>
                <w:b/>
              </w:rPr>
              <w:t>U</w:t>
            </w:r>
            <w:r w:rsidR="00692E9E" w:rsidRPr="006C5B6B">
              <w:rPr>
                <w:b/>
              </w:rPr>
              <w:t>pprun</w:t>
            </w:r>
            <w:r>
              <w:rPr>
                <w:b/>
              </w:rPr>
              <w:t>i</w:t>
            </w:r>
            <w:r w:rsidR="00692E9E" w:rsidRPr="006C5B6B">
              <w:rPr>
                <w:b/>
              </w:rPr>
              <w:t xml:space="preserve"> viðar</w:t>
            </w:r>
            <w:r>
              <w:rPr>
                <w:b/>
              </w:rPr>
              <w:t>ins</w:t>
            </w:r>
            <w:r w:rsidR="00692E9E" w:rsidRPr="006C5B6B">
              <w:rPr>
                <w:b/>
              </w:rPr>
              <w:t xml:space="preserve"> (ný</w:t>
            </w:r>
            <w:r>
              <w:rPr>
                <w:b/>
              </w:rPr>
              <w:t>jar</w:t>
            </w:r>
            <w:r w:rsidR="00692E9E" w:rsidRPr="006C5B6B">
              <w:rPr>
                <w:b/>
              </w:rPr>
              <w:t xml:space="preserve"> trefja</w:t>
            </w:r>
            <w:r>
              <w:rPr>
                <w:b/>
              </w:rPr>
              <w:t>r</w:t>
            </w:r>
            <w:r w:rsidR="00692E9E" w:rsidRPr="006C5B6B">
              <w:rPr>
                <w:b/>
              </w:rPr>
              <w:t>)</w:t>
            </w:r>
          </w:p>
          <w:p w:rsidR="00692E9E" w:rsidRDefault="00692E9E" w:rsidP="00692E9E">
            <w:pPr>
              <w:spacing w:after="200"/>
            </w:pPr>
            <w:r>
              <w:t xml:space="preserve">Hráefni pappírs skal </w:t>
            </w:r>
            <w:r w:rsidR="0082016F">
              <w:t>vera frá skógrækt</w:t>
            </w:r>
            <w:r>
              <w:t xml:space="preserve"> sem uppfyll</w:t>
            </w:r>
            <w:r w:rsidR="0082016F">
              <w:t>ir</w:t>
            </w:r>
            <w:r>
              <w:t xml:space="preserve"> eftirfarandi skilyrði:</w:t>
            </w:r>
          </w:p>
          <w:p w:rsidR="00692E9E" w:rsidRPr="0082016F" w:rsidRDefault="0082016F" w:rsidP="0082016F">
            <w:pPr>
              <w:pStyle w:val="ListParagraph"/>
              <w:numPr>
                <w:ilvl w:val="0"/>
                <w:numId w:val="22"/>
              </w:numPr>
              <w:spacing w:after="200"/>
            </w:pPr>
            <w:r w:rsidRPr="0082016F">
              <w:t>Lögleg</w:t>
            </w:r>
            <w:r w:rsidR="00692E9E" w:rsidRPr="0082016F">
              <w:t xml:space="preserve"> skógrækt</w:t>
            </w:r>
            <w:r w:rsidRPr="0082016F">
              <w:t xml:space="preserve"> eða nýtingaréttur.</w:t>
            </w:r>
          </w:p>
          <w:p w:rsidR="00692E9E" w:rsidRDefault="0082016F" w:rsidP="0082016F">
            <w:pPr>
              <w:pStyle w:val="ListParagraph"/>
              <w:numPr>
                <w:ilvl w:val="0"/>
                <w:numId w:val="22"/>
              </w:numPr>
              <w:spacing w:after="200"/>
            </w:pPr>
            <w:r>
              <w:t>Fylgir</w:t>
            </w:r>
            <w:r w:rsidR="00692E9E">
              <w:t xml:space="preserve"> alþjóðleg</w:t>
            </w:r>
            <w:r>
              <w:t>um</w:t>
            </w:r>
            <w:r w:rsidR="00692E9E">
              <w:t xml:space="preserve"> lög</w:t>
            </w:r>
            <w:r>
              <w:t>um</w:t>
            </w:r>
            <w:r w:rsidR="00692E9E">
              <w:t xml:space="preserve"> og </w:t>
            </w:r>
            <w:r>
              <w:t>samþykktum um</w:t>
            </w:r>
            <w:r w:rsidR="00692E9E">
              <w:t xml:space="preserve"> </w:t>
            </w:r>
            <w:r>
              <w:t>nýtingu</w:t>
            </w:r>
            <w:r w:rsidR="00692E9E">
              <w:t>, umhverfi</w:t>
            </w:r>
            <w:r>
              <w:t>smál</w:t>
            </w:r>
            <w:r w:rsidR="00692E9E">
              <w:t>, vinnumarkað, mannréttindi, heilsu og öryggi ásamt því að virða nýtingarétt annarra.</w:t>
            </w:r>
          </w:p>
          <w:p w:rsidR="00692E9E" w:rsidRDefault="00692E9E" w:rsidP="0082016F">
            <w:pPr>
              <w:pStyle w:val="ListParagraph"/>
              <w:numPr>
                <w:ilvl w:val="0"/>
                <w:numId w:val="22"/>
              </w:numPr>
              <w:spacing w:after="200"/>
            </w:pPr>
            <w:r>
              <w:t>Greiði</w:t>
            </w:r>
            <w:r w:rsidR="0082016F">
              <w:t>r</w:t>
            </w:r>
            <w:r>
              <w:t xml:space="preserve"> </w:t>
            </w:r>
            <w:r w:rsidR="0082016F">
              <w:t xml:space="preserve">viðeigandi </w:t>
            </w:r>
            <w:r>
              <w:t xml:space="preserve">skatta og gjöld </w:t>
            </w:r>
            <w:r w:rsidR="0082016F">
              <w:t>vegna nýtingarinnar</w:t>
            </w:r>
            <w:r>
              <w:t>.</w:t>
            </w:r>
          </w:p>
          <w:p w:rsidR="00692E9E" w:rsidRDefault="00692E9E" w:rsidP="0082016F">
            <w:pPr>
              <w:pStyle w:val="ListParagraph"/>
              <w:numPr>
                <w:ilvl w:val="0"/>
                <w:numId w:val="22"/>
              </w:numPr>
              <w:spacing w:after="200"/>
            </w:pPr>
            <w:r>
              <w:t>Uppfylli</w:t>
            </w:r>
            <w:r w:rsidR="0082016F">
              <w:t>r samþykktir CITES</w:t>
            </w:r>
            <w:r>
              <w:t xml:space="preserve"> um alþjóðarverslun (CITES, </w:t>
            </w:r>
            <w:proofErr w:type="spellStart"/>
            <w:r>
              <w:t>Convention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. Gildir aðeins um ákveðnar tegundir </w:t>
            </w:r>
            <w:proofErr w:type="spellStart"/>
            <w:r>
              <w:t>trjá</w:t>
            </w:r>
            <w:proofErr w:type="spellEnd"/>
            <w:r>
              <w:t xml:space="preserve">, sjá heimasíðu CITES: </w:t>
            </w:r>
            <w:hyperlink r:id="rId11" w:history="1">
              <w:r w:rsidRPr="00FA06C5">
                <w:rPr>
                  <w:rStyle w:val="Hyperlink"/>
                </w:rPr>
                <w:t>www.cites.org/eng/disc/species.shtml</w:t>
              </w:r>
            </w:hyperlink>
            <w:r w:rsidR="0082016F">
              <w:t>)</w:t>
            </w:r>
            <w:r>
              <w:t>.</w:t>
            </w:r>
          </w:p>
          <w:p w:rsidR="0065599B" w:rsidRDefault="00692E9E" w:rsidP="0082016F">
            <w:r w:rsidRPr="001135B4">
              <w:rPr>
                <w:b/>
              </w:rPr>
              <w:t>Staðfesting</w:t>
            </w:r>
            <w:r>
              <w:t>: Vörur með FSC eða PEFC vottun eða sambærileg</w:t>
            </w:r>
            <w:r w:rsidR="0082016F">
              <w:t>t</w:t>
            </w:r>
            <w:r>
              <w:t>, rekjanlegar vörur sem innihalda hráefni með FLEGT leyfi.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F" w:rsidRPr="006C5B6B" w:rsidRDefault="0082016F" w:rsidP="00A7721E">
            <w:pPr>
              <w:pStyle w:val="ListParagraph"/>
              <w:numPr>
                <w:ilvl w:val="0"/>
                <w:numId w:val="29"/>
              </w:numPr>
              <w:spacing w:after="200"/>
              <w:rPr>
                <w:b/>
              </w:rPr>
            </w:pPr>
            <w:r>
              <w:rPr>
                <w:b/>
              </w:rPr>
              <w:t>U</w:t>
            </w:r>
            <w:r w:rsidRPr="006C5B6B">
              <w:rPr>
                <w:b/>
              </w:rPr>
              <w:t>pprun</w:t>
            </w:r>
            <w:r>
              <w:rPr>
                <w:b/>
              </w:rPr>
              <w:t>i</w:t>
            </w:r>
            <w:r w:rsidRPr="006C5B6B">
              <w:rPr>
                <w:b/>
              </w:rPr>
              <w:t xml:space="preserve"> viðar</w:t>
            </w:r>
            <w:r>
              <w:rPr>
                <w:b/>
              </w:rPr>
              <w:t>ins</w:t>
            </w:r>
            <w:r w:rsidRPr="006C5B6B">
              <w:rPr>
                <w:b/>
              </w:rPr>
              <w:t xml:space="preserve"> (ný</w:t>
            </w:r>
            <w:r>
              <w:rPr>
                <w:b/>
              </w:rPr>
              <w:t>jar</w:t>
            </w:r>
            <w:r w:rsidRPr="006C5B6B">
              <w:rPr>
                <w:b/>
              </w:rPr>
              <w:t xml:space="preserve"> trefja</w:t>
            </w:r>
            <w:r>
              <w:rPr>
                <w:b/>
              </w:rPr>
              <w:t>r</w:t>
            </w:r>
            <w:r w:rsidRPr="006C5B6B">
              <w:rPr>
                <w:b/>
              </w:rPr>
              <w:t>)</w:t>
            </w:r>
          </w:p>
          <w:p w:rsidR="0082016F" w:rsidRDefault="0082016F" w:rsidP="0082016F">
            <w:pPr>
              <w:spacing w:after="200"/>
            </w:pPr>
            <w:r>
              <w:t>Hráefni pappírs skal vera frá skógrækt sem uppfyllir eftirfarandi skilyrði:</w:t>
            </w:r>
          </w:p>
          <w:p w:rsidR="0082016F" w:rsidRPr="0082016F" w:rsidRDefault="0082016F" w:rsidP="004C70CA">
            <w:pPr>
              <w:pStyle w:val="ListParagraph"/>
              <w:numPr>
                <w:ilvl w:val="0"/>
                <w:numId w:val="41"/>
              </w:numPr>
              <w:spacing w:after="200"/>
            </w:pPr>
            <w:r w:rsidRPr="0082016F">
              <w:t>Lögleg skógrækt eða nýtingaréttur.</w:t>
            </w:r>
          </w:p>
          <w:p w:rsidR="0082016F" w:rsidRDefault="0082016F" w:rsidP="004C70CA">
            <w:pPr>
              <w:pStyle w:val="ListParagraph"/>
              <w:numPr>
                <w:ilvl w:val="0"/>
                <w:numId w:val="41"/>
              </w:numPr>
              <w:spacing w:after="200"/>
            </w:pPr>
            <w:r>
              <w:t>Fylgir alþjóðlegum lögum og samþykktum um nýtingu, umhverfismál, vinnumarkað, mannréttindi, heilsu og öryggi ásamt því að virða nýtingarétt annarra.</w:t>
            </w:r>
          </w:p>
          <w:p w:rsidR="0082016F" w:rsidRDefault="0082016F" w:rsidP="004C70CA">
            <w:pPr>
              <w:pStyle w:val="ListParagraph"/>
              <w:numPr>
                <w:ilvl w:val="0"/>
                <w:numId w:val="41"/>
              </w:numPr>
              <w:spacing w:after="200"/>
            </w:pPr>
            <w:r>
              <w:t>Greiðir viðeigandi skatta og gjöld vegna nýtingarinnar.</w:t>
            </w:r>
          </w:p>
          <w:p w:rsidR="0082016F" w:rsidRDefault="0082016F" w:rsidP="004C70CA">
            <w:pPr>
              <w:pStyle w:val="ListParagraph"/>
              <w:numPr>
                <w:ilvl w:val="0"/>
                <w:numId w:val="41"/>
              </w:numPr>
              <w:spacing w:after="200"/>
            </w:pPr>
            <w:r>
              <w:t xml:space="preserve">Uppfyllir samþykktir CITES um alþjóðarverslun (CITES, </w:t>
            </w:r>
            <w:proofErr w:type="spellStart"/>
            <w:r>
              <w:t>Convention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>. Gildir að</w:t>
            </w:r>
            <w:r w:rsidR="004C70CA">
              <w:t xml:space="preserve">eins um ákveðnar tegundir </w:t>
            </w:r>
            <w:proofErr w:type="spellStart"/>
            <w:r w:rsidR="004C70CA">
              <w:t>trjá</w:t>
            </w:r>
            <w:proofErr w:type="spellEnd"/>
            <w:r w:rsidR="004C70CA">
              <w:t xml:space="preserve">, </w:t>
            </w:r>
            <w:r>
              <w:t xml:space="preserve">sjá heimasíðu CITES: </w:t>
            </w:r>
            <w:hyperlink r:id="rId12" w:history="1">
              <w:r w:rsidRPr="00FA06C5">
                <w:rPr>
                  <w:rStyle w:val="Hyperlink"/>
                </w:rPr>
                <w:t>www.cites.org/eng/disc/species.shtml</w:t>
              </w:r>
            </w:hyperlink>
            <w:r>
              <w:t>).</w:t>
            </w:r>
          </w:p>
          <w:p w:rsidR="0065599B" w:rsidRDefault="0082016F" w:rsidP="0082016F">
            <w:r w:rsidRPr="001135B4">
              <w:rPr>
                <w:b/>
              </w:rPr>
              <w:t>Staðfesting</w:t>
            </w:r>
            <w:r>
              <w:t>: Vörur með FSC eða PEFC vottun eða sambærilegt, rekjanlegar vörur sem innihalda hráefni með FLEGT leyfi.</w:t>
            </w:r>
          </w:p>
        </w:tc>
      </w:tr>
      <w:tr w:rsidR="0065599B" w:rsidTr="00B614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E" w:rsidRPr="007006E7" w:rsidRDefault="00692E9E" w:rsidP="00A7721E">
            <w:pPr>
              <w:pStyle w:val="ListParagraph"/>
              <w:numPr>
                <w:ilvl w:val="0"/>
                <w:numId w:val="29"/>
              </w:numPr>
              <w:spacing w:after="200"/>
              <w:rPr>
                <w:b/>
              </w:rPr>
            </w:pPr>
            <w:r w:rsidRPr="007006E7">
              <w:rPr>
                <w:b/>
              </w:rPr>
              <w:t>Losun mengandi efna í vatn og andrúmsloft</w:t>
            </w:r>
          </w:p>
          <w:p w:rsidR="00692E9E" w:rsidRPr="007006E7" w:rsidRDefault="004C70CA" w:rsidP="00692E9E">
            <w:pPr>
              <w:spacing w:after="200"/>
            </w:pPr>
            <w:r w:rsidRPr="007006E7">
              <w:t>L</w:t>
            </w:r>
            <w:r w:rsidR="00E302B4" w:rsidRPr="007006E7">
              <w:t xml:space="preserve">osun í vatn og andrúmsloft við framleiðslu pappírsmauks og pappírs </w:t>
            </w:r>
            <w:r w:rsidRPr="007006E7">
              <w:t>fyrir breyturnar fosfór (P), brennistein (S), köfnunarefnisoxíð (</w:t>
            </w:r>
            <w:proofErr w:type="spellStart"/>
            <w:r w:rsidRPr="007006E7">
              <w:t>NOx</w:t>
            </w:r>
            <w:proofErr w:type="spellEnd"/>
            <w:r w:rsidRPr="007006E7">
              <w:t xml:space="preserve">) og efnafræðilega súrefnisþurrð (e. </w:t>
            </w:r>
            <w:proofErr w:type="spellStart"/>
            <w:r w:rsidRPr="007006E7">
              <w:t>Chemical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Oxigen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Demand</w:t>
            </w:r>
            <w:proofErr w:type="spellEnd"/>
            <w:r w:rsidRPr="007006E7">
              <w:t xml:space="preserve">, COD) skal </w:t>
            </w:r>
            <w:r w:rsidR="00E302B4" w:rsidRPr="007006E7">
              <w:t>reikna sem „refsistig“ samkvæmt viðmiðum Evrópublómsins. Við ú</w:t>
            </w:r>
            <w:r w:rsidR="00692E9E" w:rsidRPr="007006E7">
              <w:t>treikninga</w:t>
            </w:r>
            <w:r w:rsidR="00E302B4" w:rsidRPr="007006E7">
              <w:t xml:space="preserve">na skal styðjast við viðauka </w:t>
            </w:r>
            <w:r w:rsidR="00692E9E" w:rsidRPr="007006E7">
              <w:t xml:space="preserve">„Viðmiðunargildi, losun mengandi efna í vatn og andrúmsloft“. Heildarfjöldi refsistiga má ekki </w:t>
            </w:r>
            <w:r w:rsidR="00E302B4" w:rsidRPr="007006E7">
              <w:t>vera meiri en</w:t>
            </w:r>
            <w:r w:rsidR="00692E9E" w:rsidRPr="007006E7">
              <w:t xml:space="preserve"> 4,0 </w:t>
            </w:r>
            <w:r w:rsidR="00E302B4" w:rsidRPr="007006E7">
              <w:t>og hvert einstakt</w:t>
            </w:r>
            <w:r w:rsidR="00692E9E" w:rsidRPr="007006E7">
              <w:t xml:space="preserve"> refsistig</w:t>
            </w:r>
            <w:r w:rsidR="00E302B4" w:rsidRPr="007006E7">
              <w:t xml:space="preserve"> má ekki vera meira en</w:t>
            </w:r>
            <w:r w:rsidR="00692E9E" w:rsidRPr="007006E7">
              <w:t xml:space="preserve"> 1,5.</w:t>
            </w:r>
          </w:p>
          <w:p w:rsidR="00692E9E" w:rsidRPr="007006E7" w:rsidRDefault="00692E9E" w:rsidP="00692E9E">
            <w:pPr>
              <w:spacing w:after="200"/>
            </w:pPr>
            <w:r w:rsidRPr="007006E7">
              <w:rPr>
                <w:b/>
              </w:rPr>
              <w:t>Staðfesting</w:t>
            </w:r>
            <w:r w:rsidRPr="007006E7">
              <w:t>: Vottun Evrópublómsins eða</w:t>
            </w:r>
            <w:r w:rsidR="00E302B4" w:rsidRPr="007006E7">
              <w:t xml:space="preserve"> Svansins á hreinlætispappír. T</w:t>
            </w:r>
            <w:r w:rsidRPr="007006E7">
              <w:t xml:space="preserve">æknilýsing sem staðfestir að viðmið hafi verið uppfyllt. </w:t>
            </w:r>
          </w:p>
          <w:p w:rsidR="0065599B" w:rsidRPr="007006E7" w:rsidRDefault="00692E9E" w:rsidP="00692E9E">
            <w:pPr>
              <w:rPr>
                <w:b/>
              </w:rPr>
            </w:pPr>
            <w:r w:rsidRPr="007006E7">
              <w:rPr>
                <w:b/>
              </w:rPr>
              <w:t>Viðauki:</w:t>
            </w:r>
            <w:r w:rsidRPr="007006E7">
              <w:t xml:space="preserve"> Viðmiðunargildi, losun mengandi </w:t>
            </w:r>
            <w:r w:rsidRPr="007006E7">
              <w:lastRenderedPageBreak/>
              <w:t>efna í vatn og andrúmsloft.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E" w:rsidRPr="007006E7" w:rsidRDefault="00692E9E" w:rsidP="00A7721E">
            <w:pPr>
              <w:pStyle w:val="ListParagraph"/>
              <w:numPr>
                <w:ilvl w:val="0"/>
                <w:numId w:val="5"/>
              </w:numPr>
              <w:spacing w:after="200"/>
              <w:rPr>
                <w:b/>
              </w:rPr>
            </w:pPr>
            <w:r w:rsidRPr="007006E7">
              <w:rPr>
                <w:b/>
              </w:rPr>
              <w:lastRenderedPageBreak/>
              <w:t>Losun mengandi efna í vatn og andrúmsloft</w:t>
            </w:r>
          </w:p>
          <w:p w:rsidR="00E302B4" w:rsidRPr="007006E7" w:rsidRDefault="004C70CA" w:rsidP="00E302B4">
            <w:pPr>
              <w:spacing w:after="200"/>
            </w:pPr>
            <w:r w:rsidRPr="007006E7">
              <w:t>Losun í vatn og andrúmsloft við framleiðslu pappírsmauks og pappírs fyrir breyturnar fosfór (P), brennistein (S), köfnunarefnisoxíð (</w:t>
            </w:r>
            <w:proofErr w:type="spellStart"/>
            <w:r w:rsidRPr="007006E7">
              <w:t>NOx</w:t>
            </w:r>
            <w:proofErr w:type="spellEnd"/>
            <w:r w:rsidRPr="007006E7">
              <w:t xml:space="preserve">) og efnafræðilega súrefnisþurrð (e. </w:t>
            </w:r>
            <w:proofErr w:type="spellStart"/>
            <w:r w:rsidRPr="007006E7">
              <w:t>Chemical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Oxigen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Demand</w:t>
            </w:r>
            <w:proofErr w:type="spellEnd"/>
            <w:r w:rsidRPr="007006E7">
              <w:t>, COD) skal reikna sem „refsistig“ samkvæmt viðmiðum Evrópublómsins. Við útreikningana skal styðjast við viðauka „Viðmiðunargildi, losun mengandi efna í vatn og andrúmsloft“. Heildarfjöldi refsistiga má ekki vera meiri en 4,0 og hvert einstakt refsistig má ekki vera meira en 1,5.</w:t>
            </w:r>
          </w:p>
          <w:p w:rsidR="00E302B4" w:rsidRPr="007006E7" w:rsidRDefault="00E302B4" w:rsidP="00E302B4">
            <w:pPr>
              <w:spacing w:after="200"/>
            </w:pPr>
            <w:r w:rsidRPr="007006E7">
              <w:rPr>
                <w:b/>
              </w:rPr>
              <w:t>Staðfesting</w:t>
            </w:r>
            <w:r w:rsidRPr="007006E7">
              <w:t xml:space="preserve">: Vottun Evrópublómsins eða Svansins á hreinlætispappír. Tæknilýsing sem staðfestir að viðmið hafi verið uppfyllt. </w:t>
            </w:r>
          </w:p>
          <w:p w:rsidR="0065599B" w:rsidRPr="007006E7" w:rsidRDefault="00E302B4" w:rsidP="00E302B4">
            <w:pPr>
              <w:rPr>
                <w:b/>
              </w:rPr>
            </w:pPr>
            <w:r w:rsidRPr="007006E7">
              <w:rPr>
                <w:b/>
              </w:rPr>
              <w:t>Viðauki:</w:t>
            </w:r>
            <w:r w:rsidRPr="007006E7">
              <w:t xml:space="preserve"> Viðmiðunargildi, losun mengandi </w:t>
            </w:r>
            <w:r w:rsidRPr="007006E7">
              <w:lastRenderedPageBreak/>
              <w:t>efna í vatn og andrúmsloft.</w:t>
            </w:r>
          </w:p>
        </w:tc>
      </w:tr>
      <w:tr w:rsidR="0065599B" w:rsidTr="00B614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599B" w:rsidRDefault="0065599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MATSVIÐMIÐ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5599B" w:rsidRDefault="0065599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MATSVIÐMIÐ</w:t>
            </w:r>
          </w:p>
        </w:tc>
      </w:tr>
      <w:tr w:rsidR="0000529F" w:rsidTr="00B6148D">
        <w:trPr>
          <w:trHeight w:val="14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0" w:rsidRPr="006C5B6B" w:rsidRDefault="00412520" w:rsidP="00412520">
            <w:pPr>
              <w:pStyle w:val="ListParagraph"/>
              <w:numPr>
                <w:ilvl w:val="0"/>
                <w:numId w:val="6"/>
              </w:numPr>
              <w:spacing w:after="200"/>
              <w:rPr>
                <w:b/>
              </w:rPr>
            </w:pPr>
            <w:r w:rsidRPr="006C5B6B">
              <w:rPr>
                <w:b/>
              </w:rPr>
              <w:t>Klórfrír pappír</w:t>
            </w:r>
          </w:p>
          <w:p w:rsidR="0000529F" w:rsidRPr="00CC0336" w:rsidRDefault="00412520" w:rsidP="00412520">
            <w:pPr>
              <w:shd w:val="clear" w:color="auto" w:fill="FFFFFF"/>
              <w:spacing w:line="255" w:lineRule="atLeast"/>
            </w:pPr>
            <w:r>
              <w:t>Pappírsmauk sem notað er í pappírsframleiðslu skal vera bleikt án klórgass, þ.e. samkvæmt aðferðum ETC (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 eða TCF (</w:t>
            </w:r>
            <w:proofErr w:type="spellStart"/>
            <w:r>
              <w:t>Totally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).</w:t>
            </w:r>
            <w:r w:rsidRPr="00CC0336">
              <w:t xml:space="preserve"> </w:t>
            </w:r>
            <w:r w:rsidR="00CC0336">
              <w:t>Vegið meðalgildi</w:t>
            </w:r>
            <w:r w:rsidR="0000529F" w:rsidRPr="00CC0336">
              <w:t xml:space="preserve"> AOX-</w:t>
            </w:r>
            <w:r w:rsidR="00CC0336">
              <w:t xml:space="preserve">losunar við framleiðsluna skal ekki vera meira en </w:t>
            </w:r>
            <w:r w:rsidR="0000529F" w:rsidRPr="00CC0336">
              <w:t>0,12 kg/ton</w:t>
            </w:r>
            <w:r w:rsidR="00CC0336">
              <w:t>n mauk</w:t>
            </w:r>
            <w:r w:rsidR="0000529F" w:rsidRPr="00CC0336">
              <w:t xml:space="preserve"> (me</w:t>
            </w:r>
            <w:r w:rsidR="00CC0336">
              <w:t>ð</w:t>
            </w:r>
            <w:r w:rsidR="0000529F" w:rsidRPr="00CC0336">
              <w:t xml:space="preserve"> 90 % TS). AOX-</w:t>
            </w:r>
            <w:r w:rsidR="002430B8">
              <w:t xml:space="preserve">losun skal ekki vera meira en </w:t>
            </w:r>
            <w:r w:rsidR="0000529F" w:rsidRPr="00CC0336">
              <w:t>0,25 kg/ton</w:t>
            </w:r>
            <w:r w:rsidR="002430B8">
              <w:t>n</w:t>
            </w:r>
            <w:r w:rsidR="0000529F" w:rsidRPr="00CC0336">
              <w:t xml:space="preserve"> ma</w:t>
            </w:r>
            <w:r w:rsidR="002430B8">
              <w:t>uk</w:t>
            </w:r>
            <w:r w:rsidR="0000529F" w:rsidRPr="00CC0336">
              <w:t xml:space="preserve"> (</w:t>
            </w:r>
            <w:proofErr w:type="spellStart"/>
            <w:r w:rsidR="0000529F" w:rsidRPr="00CC0336">
              <w:t>med</w:t>
            </w:r>
            <w:proofErr w:type="spellEnd"/>
            <w:r w:rsidR="0000529F" w:rsidRPr="00CC0336">
              <w:t xml:space="preserve"> 90 % TS).</w:t>
            </w:r>
          </w:p>
          <w:p w:rsidR="0000529F" w:rsidRPr="00692E9E" w:rsidRDefault="00FD2D45" w:rsidP="004C70CA">
            <w:pPr>
              <w:shd w:val="clear" w:color="auto" w:fill="FFFFFF"/>
              <w:spacing w:after="0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is-IS"/>
              </w:rPr>
            </w:pPr>
            <w:hyperlink r:id="rId13" w:tooltip="Förslag till verifikat" w:history="1">
              <w:r w:rsidR="004C13C3" w:rsidRPr="00CC0336">
                <w:rPr>
                  <w:b/>
                </w:rPr>
                <w:t>Staðfesting</w:t>
              </w:r>
            </w:hyperlink>
            <w:r w:rsidR="004D238F">
              <w:rPr>
                <w:b/>
              </w:rPr>
              <w:t xml:space="preserve">: </w:t>
            </w:r>
            <w:r w:rsidR="004C70CA" w:rsidRPr="004C70CA">
              <w:t xml:space="preserve">Vottun </w:t>
            </w:r>
            <w:r w:rsidR="00CC0336" w:rsidRPr="00CC0336">
              <w:t>Evrópublóm</w:t>
            </w:r>
            <w:r w:rsidR="004C70CA">
              <w:t>sins eða t</w:t>
            </w:r>
            <w:r w:rsidR="002430B8">
              <w:t xml:space="preserve">æknilýsing sem staðfestir að viðmið hafi verið uppfyllt. </w:t>
            </w:r>
            <w:r w:rsidR="0000529F" w:rsidRPr="00CC0336">
              <w:t>(</w:t>
            </w:r>
            <w:r w:rsidR="002430B8">
              <w:t>útreikningar samkvæmt</w:t>
            </w:r>
            <w:r w:rsidR="0000529F" w:rsidRPr="00CC0336">
              <w:t xml:space="preserve"> </w:t>
            </w:r>
            <w:r w:rsidR="002430B8">
              <w:t>Evrópublóminu hreinlætispappír liður</w:t>
            </w:r>
            <w:r w:rsidR="0000529F" w:rsidRPr="00CC0336">
              <w:t xml:space="preserve"> 1b).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8" w:rsidRPr="006C5B6B" w:rsidRDefault="002430B8" w:rsidP="002430B8">
            <w:pPr>
              <w:pStyle w:val="ListParagraph"/>
              <w:numPr>
                <w:ilvl w:val="0"/>
                <w:numId w:val="23"/>
              </w:numPr>
              <w:spacing w:after="200"/>
              <w:rPr>
                <w:b/>
              </w:rPr>
            </w:pPr>
            <w:r w:rsidRPr="006C5B6B">
              <w:rPr>
                <w:b/>
              </w:rPr>
              <w:t>Klórfrír pappír</w:t>
            </w:r>
          </w:p>
          <w:p w:rsidR="008E5D68" w:rsidRDefault="002430B8" w:rsidP="004C70CA">
            <w:pPr>
              <w:shd w:val="clear" w:color="auto" w:fill="FFFFFF"/>
              <w:spacing w:line="255" w:lineRule="atLeast"/>
              <w:rPr>
                <w:b/>
              </w:rPr>
            </w:pPr>
            <w:r>
              <w:t>Pappírsmauk sem notað er í pappírsframleiðslu skal vera bleikt án klórgass, þ.e. samkvæmt aðferðum ETC (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 eða TCF (</w:t>
            </w:r>
            <w:proofErr w:type="spellStart"/>
            <w:r>
              <w:t>Totally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).</w:t>
            </w:r>
            <w:r w:rsidRPr="00CC0336">
              <w:t xml:space="preserve"> AOX-</w:t>
            </w:r>
            <w:r>
              <w:t xml:space="preserve">losun skal ekki vera meira en </w:t>
            </w:r>
            <w:r w:rsidRPr="00CC0336">
              <w:t>0,</w:t>
            </w:r>
            <w:r>
              <w:t>10</w:t>
            </w:r>
            <w:r w:rsidRPr="00CC0336">
              <w:t xml:space="preserve"> kg/ton</w:t>
            </w:r>
            <w:r>
              <w:t>n</w:t>
            </w:r>
            <w:r w:rsidRPr="00CC0336">
              <w:t xml:space="preserve"> ma</w:t>
            </w:r>
            <w:r>
              <w:t>uk</w:t>
            </w:r>
            <w:r w:rsidRPr="00CC0336">
              <w:t xml:space="preserve"> (</w:t>
            </w:r>
            <w:proofErr w:type="spellStart"/>
            <w:r w:rsidRPr="00CC0336">
              <w:t>med</w:t>
            </w:r>
            <w:proofErr w:type="spellEnd"/>
            <w:r w:rsidRPr="00CC0336">
              <w:t xml:space="preserve"> 90 % TS).</w:t>
            </w:r>
          </w:p>
          <w:p w:rsidR="0000529F" w:rsidRDefault="00FD2D45" w:rsidP="004C70CA">
            <w:pPr>
              <w:shd w:val="clear" w:color="auto" w:fill="FFFFFF"/>
              <w:spacing w:after="0" w:line="255" w:lineRule="atLeast"/>
            </w:pPr>
            <w:hyperlink r:id="rId14" w:tooltip="Förslag till verifikat" w:history="1">
              <w:r w:rsidR="004C70CA" w:rsidRPr="00CC0336">
                <w:rPr>
                  <w:b/>
                </w:rPr>
                <w:t>Staðfesting</w:t>
              </w:r>
            </w:hyperlink>
            <w:r w:rsidR="004C70CA">
              <w:rPr>
                <w:b/>
              </w:rPr>
              <w:t xml:space="preserve">: </w:t>
            </w:r>
            <w:r w:rsidR="004C70CA" w:rsidRPr="004C70CA">
              <w:t xml:space="preserve">Vottun </w:t>
            </w:r>
            <w:r w:rsidR="004C70CA" w:rsidRPr="00CC0336">
              <w:t>Evrópublóm</w:t>
            </w:r>
            <w:r w:rsidR="004C70CA">
              <w:t xml:space="preserve">sins eða tæknilýsing sem staðfestir að viðmið hafi verið uppfyllt. </w:t>
            </w:r>
            <w:r w:rsidR="004C70CA" w:rsidRPr="00CC0336">
              <w:t>(</w:t>
            </w:r>
            <w:r w:rsidR="004C70CA">
              <w:t>útreikningar samkvæmt</w:t>
            </w:r>
            <w:r w:rsidR="004C70CA" w:rsidRPr="00CC0336">
              <w:t xml:space="preserve"> </w:t>
            </w:r>
            <w:r w:rsidR="004C70CA">
              <w:t>Evrópublóminu hreinlætispappír liður</w:t>
            </w:r>
            <w:r w:rsidR="004C70CA" w:rsidRPr="00CC0336">
              <w:t xml:space="preserve"> 1b).</w:t>
            </w:r>
          </w:p>
        </w:tc>
      </w:tr>
      <w:tr w:rsidR="00784F1C" w:rsidTr="00B6148D">
        <w:trPr>
          <w:trHeight w:val="14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C4" w:rsidRPr="006C5B6B" w:rsidRDefault="00A404C4" w:rsidP="00A7721E">
            <w:pPr>
              <w:pStyle w:val="ListParagraph"/>
              <w:numPr>
                <w:ilvl w:val="0"/>
                <w:numId w:val="23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Losun gróðurhúsalofttegunda </w:t>
            </w:r>
          </w:p>
          <w:p w:rsidR="00784F1C" w:rsidRPr="00A404C4" w:rsidRDefault="00A404C4" w:rsidP="00784F1C">
            <w:pPr>
              <w:shd w:val="clear" w:color="auto" w:fill="FFFFFF"/>
              <w:spacing w:line="255" w:lineRule="atLeast"/>
            </w:pPr>
            <w:r>
              <w:t>Losun koltvísýrings (CO</w:t>
            </w:r>
            <w:r w:rsidRPr="00306AAA">
              <w:rPr>
                <w:vertAlign w:val="subscript"/>
              </w:rPr>
              <w:t>2</w:t>
            </w:r>
            <w:r>
              <w:t xml:space="preserve">) vegna orkunotkunar við framleiðslu pappírsmauks og pappírs (rafmagnsnotkun talin með) skal ekki vera meiri en </w:t>
            </w:r>
            <w:r w:rsidR="00784F1C" w:rsidRPr="00A404C4">
              <w:t>1 500 kg/ton</w:t>
            </w:r>
            <w:r w:rsidRPr="00A404C4">
              <w:t>n hreinlætispappír</w:t>
            </w:r>
            <w:r w:rsidR="00784F1C" w:rsidRPr="00A404C4">
              <w:t>.</w:t>
            </w:r>
          </w:p>
          <w:p w:rsidR="00784F1C" w:rsidRPr="0065599B" w:rsidRDefault="00FD2D45" w:rsidP="004C70CA">
            <w:pPr>
              <w:spacing w:after="200"/>
            </w:pPr>
            <w:hyperlink r:id="rId15" w:tooltip="Förslag till verifikat" w:history="1">
              <w:r w:rsidR="00A404C4" w:rsidRPr="00A404C4">
                <w:rPr>
                  <w:b/>
                </w:rPr>
                <w:t>Staðfesting</w:t>
              </w:r>
            </w:hyperlink>
            <w:r w:rsidR="004D238F">
              <w:rPr>
                <w:b/>
              </w:rPr>
              <w:t xml:space="preserve">: </w:t>
            </w:r>
            <w:r w:rsidR="004D238F">
              <w:t>Vottun Evrópublómsins</w:t>
            </w:r>
            <w:r w:rsidR="004C70CA">
              <w:t>,</w:t>
            </w:r>
            <w:r w:rsidR="004D238F">
              <w:t xml:space="preserve"> Svansins</w:t>
            </w:r>
            <w:r w:rsidR="004C70CA">
              <w:t xml:space="preserve"> eða t</w:t>
            </w:r>
            <w:r w:rsidR="004D238F">
              <w:t xml:space="preserve">æknilýsing sem staðfestir að viðmið hafi verið uppfyllt, sjá viðhengi (Gróðurhúsalofttegundir).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F" w:rsidRPr="006C5B6B" w:rsidRDefault="004D238F" w:rsidP="00A7721E">
            <w:pPr>
              <w:pStyle w:val="ListParagraph"/>
              <w:numPr>
                <w:ilvl w:val="0"/>
                <w:numId w:val="30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Losun gróðurhúsalofttegunda </w:t>
            </w:r>
          </w:p>
          <w:p w:rsidR="004D238F" w:rsidRPr="00A404C4" w:rsidRDefault="004D238F" w:rsidP="004D238F">
            <w:pPr>
              <w:shd w:val="clear" w:color="auto" w:fill="FFFFFF"/>
              <w:spacing w:line="255" w:lineRule="atLeast"/>
            </w:pPr>
            <w:r>
              <w:t>Losun koltvísýrings (CO</w:t>
            </w:r>
            <w:r w:rsidRPr="00306AAA">
              <w:rPr>
                <w:vertAlign w:val="subscript"/>
              </w:rPr>
              <w:t>2</w:t>
            </w:r>
            <w:r>
              <w:t xml:space="preserve">) vegna orkunotkunar við framleiðslu pappírsmauks og pappírs (rafmagnsnotkun talin með) skal ekki vera meiri en </w:t>
            </w:r>
            <w:r w:rsidRPr="00A404C4">
              <w:t>1 500 kg/tonn hreinlætispappír.</w:t>
            </w:r>
          </w:p>
          <w:p w:rsidR="00784F1C" w:rsidRPr="004D238F" w:rsidRDefault="00FD2D45" w:rsidP="004C70CA">
            <w:pPr>
              <w:spacing w:after="200"/>
            </w:pPr>
            <w:hyperlink r:id="rId16" w:tooltip="Förslag till verifikat" w:history="1">
              <w:r w:rsidR="004D238F" w:rsidRPr="00A404C4">
                <w:rPr>
                  <w:b/>
                </w:rPr>
                <w:t>Staðfesting</w:t>
              </w:r>
            </w:hyperlink>
            <w:r w:rsidR="004D238F">
              <w:rPr>
                <w:b/>
              </w:rPr>
              <w:t xml:space="preserve">: </w:t>
            </w:r>
            <w:r w:rsidR="004D238F">
              <w:t>Vottun Evrópublómsins</w:t>
            </w:r>
            <w:r w:rsidR="004C70CA">
              <w:t>,</w:t>
            </w:r>
            <w:r w:rsidR="004D238F">
              <w:t xml:space="preserve"> Svansins </w:t>
            </w:r>
            <w:r w:rsidR="004C70CA">
              <w:t>eða t</w:t>
            </w:r>
            <w:r w:rsidR="004D238F">
              <w:t xml:space="preserve">æknilýsing sem staðfestir að viðmið hafi verið uppfyllt, sjá viðhengi (Gróðurhúsalofttegundir). </w:t>
            </w:r>
          </w:p>
        </w:tc>
      </w:tr>
      <w:tr w:rsidR="00784F1C" w:rsidTr="00B6148D">
        <w:trPr>
          <w:trHeight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84F1C" w:rsidRDefault="00784F1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84F1C" w:rsidRDefault="00784F1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</w:tr>
      <w:tr w:rsidR="00784F1C" w:rsidTr="00B6148D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F1C" w:rsidRPr="006C5B6B" w:rsidRDefault="00784F1C" w:rsidP="00784F1C">
            <w:pPr>
              <w:pStyle w:val="ListParagraph"/>
              <w:numPr>
                <w:ilvl w:val="0"/>
                <w:numId w:val="4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Verklag sem tryggir </w:t>
            </w:r>
            <w:r w:rsidRPr="006C5B6B">
              <w:rPr>
                <w:b/>
              </w:rPr>
              <w:t>uppruna nýrra trefja</w:t>
            </w:r>
          </w:p>
          <w:p w:rsidR="00784F1C" w:rsidRDefault="00784F1C" w:rsidP="00692E9E">
            <w:pPr>
              <w:tabs>
                <w:tab w:val="left" w:pos="1426"/>
              </w:tabs>
            </w:pPr>
            <w:r>
              <w:t xml:space="preserve">Bjóðandi skal </w:t>
            </w:r>
            <w:r w:rsidR="002544FC">
              <w:t xml:space="preserve">hafa innleitt </w:t>
            </w:r>
            <w:r>
              <w:t xml:space="preserve">verklag sem tryggir að viður eða hráefni </w:t>
            </w:r>
            <w:r w:rsidR="002544FC">
              <w:t>úr við í pappírnum</w:t>
            </w:r>
            <w:r>
              <w:t xml:space="preserve"> </w:t>
            </w:r>
            <w:r w:rsidR="002544FC">
              <w:t>sé</w:t>
            </w:r>
            <w:r>
              <w:t xml:space="preserve"> frá lögmætum og </w:t>
            </w:r>
            <w:r w:rsidR="002544FC">
              <w:t>samþykktum</w:t>
            </w:r>
            <w:r>
              <w:t xml:space="preserve"> uppruna, samkvæmt </w:t>
            </w:r>
            <w:r w:rsidR="007006E7">
              <w:t>viðmiði:</w:t>
            </w:r>
            <w:r w:rsidR="00740EC2">
              <w:t>„</w:t>
            </w:r>
            <w:r w:rsidR="00740EC2" w:rsidRPr="007006E7">
              <w:t>Uppruni viðar</w:t>
            </w:r>
            <w:r w:rsidR="007006E7" w:rsidRPr="007006E7">
              <w:t>ins</w:t>
            </w:r>
            <w:r w:rsidR="00740EC2" w:rsidRPr="007006E7">
              <w:t xml:space="preserve"> (nýjar trefjar</w:t>
            </w:r>
            <w:r w:rsidR="007006E7" w:rsidRPr="007006E7">
              <w:t>)“</w:t>
            </w:r>
            <w:r w:rsidRPr="007006E7">
              <w:t xml:space="preserve"> og </w:t>
            </w:r>
            <w:r w:rsidR="002404B1">
              <w:t xml:space="preserve">í </w:t>
            </w:r>
            <w:r w:rsidRPr="007006E7">
              <w:t>sér</w:t>
            </w:r>
            <w:r w:rsidR="002404B1">
              <w:t xml:space="preserve">sökum samningsviðmiðum </w:t>
            </w:r>
            <w:r>
              <w:t>„</w:t>
            </w:r>
            <w:r w:rsidRPr="002404B1">
              <w:t xml:space="preserve">Ráðstafanir til að </w:t>
            </w:r>
            <w:r w:rsidR="00740EC2" w:rsidRPr="002404B1">
              <w:t>koma í veg fyrir umdeildan uppruna</w:t>
            </w:r>
            <w:r w:rsidRPr="002404B1">
              <w:t xml:space="preserve"> </w:t>
            </w:r>
            <w:r w:rsidR="00740EC2" w:rsidRPr="002404B1">
              <w:t>(</w:t>
            </w:r>
            <w:r w:rsidRPr="002404B1">
              <w:t>ný</w:t>
            </w:r>
            <w:r w:rsidR="00740EC2" w:rsidRPr="002404B1">
              <w:t>jar</w:t>
            </w:r>
            <w:r w:rsidRPr="002404B1">
              <w:t xml:space="preserve"> trefja</w:t>
            </w:r>
            <w:r w:rsidR="00740EC2" w:rsidRPr="002404B1">
              <w:t>r)</w:t>
            </w:r>
            <w:r w:rsidR="002404B1" w:rsidRPr="002404B1">
              <w:t>“</w:t>
            </w:r>
            <w:r w:rsidRPr="002404B1">
              <w:t xml:space="preserve">. </w:t>
            </w:r>
            <w:r w:rsidR="00740EC2" w:rsidRPr="002404B1">
              <w:t>Slíkt verklag</w:t>
            </w:r>
            <w:r w:rsidR="00740EC2">
              <w:t xml:space="preserve"> má </w:t>
            </w:r>
            <w:r>
              <w:t xml:space="preserve">finna </w:t>
            </w:r>
            <w:r w:rsidR="009C3BCF">
              <w:t xml:space="preserve">í </w:t>
            </w:r>
            <w:r>
              <w:t>ISO 9001/14001 eða öðrum stjórnunarkerfum.</w:t>
            </w:r>
          </w:p>
          <w:p w:rsidR="00784F1C" w:rsidRDefault="00784F1C" w:rsidP="00740EC2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 xml:space="preserve">: Bjóðendur skulu leggja fram undirskrifaða yfirlýsingu með stuttri lýsingu á </w:t>
            </w:r>
            <w:r w:rsidR="00740EC2">
              <w:t>verklagi</w:t>
            </w:r>
            <w:r>
              <w:t xml:space="preserve"> og aðferðum notaðar til að staðfesta uppruna hráefnis.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EC2" w:rsidRPr="006C5B6B" w:rsidRDefault="00740EC2" w:rsidP="00A7721E">
            <w:pPr>
              <w:pStyle w:val="ListParagraph"/>
              <w:numPr>
                <w:ilvl w:val="0"/>
                <w:numId w:val="31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Verklag sem tryggir </w:t>
            </w:r>
            <w:r w:rsidRPr="006C5B6B">
              <w:rPr>
                <w:b/>
              </w:rPr>
              <w:t>uppruna nýrra trefja</w:t>
            </w:r>
          </w:p>
          <w:p w:rsidR="002404B1" w:rsidRDefault="002404B1" w:rsidP="002404B1">
            <w:pPr>
              <w:tabs>
                <w:tab w:val="left" w:pos="1426"/>
              </w:tabs>
            </w:pPr>
            <w:r>
              <w:t>Bjóðandi skal hafa innleitt verklag sem tryggir að viður eða hráefni úr við í pappírnum sé frá lögmætum og samþykktum uppruna, samkvæmt viðmiði:„</w:t>
            </w:r>
            <w:r w:rsidRPr="007006E7">
              <w:t xml:space="preserve">Uppruni viðarins (nýjar trefjar)“ og </w:t>
            </w:r>
            <w:r>
              <w:t xml:space="preserve">í </w:t>
            </w:r>
            <w:r w:rsidRPr="007006E7">
              <w:t>sér</w:t>
            </w:r>
            <w:r>
              <w:t>sökum samningsviðmiðum „</w:t>
            </w:r>
            <w:r w:rsidRPr="002404B1">
              <w:t>Ráðstafanir til að koma í veg fyrir umdeildan uppruna (nýjar trefjar)“. Slíkt verklag</w:t>
            </w:r>
            <w:r>
              <w:t xml:space="preserve"> má finna í ISO 9001/14001 eða öðrum stjórnunarkerfum.</w:t>
            </w:r>
          </w:p>
          <w:p w:rsidR="00784F1C" w:rsidRDefault="00740EC2" w:rsidP="00740EC2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Bjóðendur skulu leggja fram undirskrifaða yfirlýsingu með stuttri lýsingu á verklagi og aðferðum notaðar til að staðfesta uppruna hráefnis.</w:t>
            </w:r>
          </w:p>
        </w:tc>
      </w:tr>
      <w:tr w:rsidR="00784F1C" w:rsidTr="00B6148D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4F1C" w:rsidRPr="00784F1C" w:rsidRDefault="00784F1C" w:rsidP="00784F1C">
            <w:pPr>
              <w:spacing w:line="276" w:lineRule="auto"/>
              <w:rPr>
                <w:b/>
              </w:rPr>
            </w:pPr>
            <w:r w:rsidRPr="00A3708C">
              <w:rPr>
                <w:b/>
              </w:rPr>
              <w:lastRenderedPageBreak/>
              <w:t>SÉRSTÖK SAMNINGSVIÐMIÐ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4F1C" w:rsidRPr="00784F1C" w:rsidRDefault="00784F1C" w:rsidP="00784F1C">
            <w:pPr>
              <w:spacing w:line="276" w:lineRule="auto"/>
              <w:rPr>
                <w:b/>
              </w:rPr>
            </w:pPr>
            <w:r w:rsidRPr="00A3708C">
              <w:rPr>
                <w:b/>
              </w:rPr>
              <w:t>SÉRSTÖK SAMNINGSVIÐMIÐ</w:t>
            </w:r>
          </w:p>
        </w:tc>
      </w:tr>
      <w:tr w:rsidR="00784F1C" w:rsidTr="00B6148D">
        <w:trPr>
          <w:trHeight w:val="80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F1C" w:rsidRPr="008E5D68" w:rsidRDefault="00740EC2" w:rsidP="00784F1C">
            <w:pPr>
              <w:pStyle w:val="ListParagraph"/>
              <w:numPr>
                <w:ilvl w:val="0"/>
                <w:numId w:val="7"/>
              </w:numPr>
              <w:spacing w:after="200"/>
              <w:rPr>
                <w:b/>
              </w:rPr>
            </w:pPr>
            <w:r w:rsidRPr="008E5D68">
              <w:rPr>
                <w:b/>
              </w:rPr>
              <w:t>Ráðstafanir til að koma í veg fyrir umdeildan uppruna (nýjar trefjar)</w:t>
            </w:r>
          </w:p>
          <w:p w:rsidR="00784F1C" w:rsidRDefault="00784F1C" w:rsidP="00784F1C">
            <w:r>
              <w:t xml:space="preserve">Birgjar skulu nota áreiðanleg kerfi til að vakta og rekja uppruna hráefnis til að fyrirbyggja að </w:t>
            </w:r>
            <w:r w:rsidR="00740EC2">
              <w:t>pappírinn teng</w:t>
            </w:r>
            <w:r w:rsidR="00DF65C5">
              <w:t>ist</w:t>
            </w:r>
            <w:r>
              <w:t>:</w:t>
            </w:r>
          </w:p>
          <w:p w:rsidR="00784F1C" w:rsidRDefault="00E00E08" w:rsidP="00784F1C">
            <w:pPr>
              <w:pStyle w:val="ListParagraph"/>
              <w:numPr>
                <w:ilvl w:val="0"/>
                <w:numId w:val="9"/>
              </w:numPr>
            </w:pPr>
            <w:r>
              <w:t>B</w:t>
            </w:r>
            <w:r w:rsidR="00740EC2">
              <w:t>rotum</w:t>
            </w:r>
            <w:r w:rsidR="00784F1C">
              <w:t xml:space="preserve"> á mannréttindum (</w:t>
            </w:r>
            <w:proofErr w:type="spellStart"/>
            <w:r w:rsidR="00784F1C">
              <w:t>International</w:t>
            </w:r>
            <w:proofErr w:type="spellEnd"/>
            <w:r w:rsidR="00784F1C">
              <w:t xml:space="preserve"> </w:t>
            </w:r>
            <w:proofErr w:type="spellStart"/>
            <w:r w:rsidR="00784F1C">
              <w:t>Labour</w:t>
            </w:r>
            <w:proofErr w:type="spellEnd"/>
            <w:r w:rsidR="00784F1C">
              <w:t xml:space="preserve"> </w:t>
            </w:r>
            <w:proofErr w:type="spellStart"/>
            <w:r w:rsidR="00784F1C">
              <w:t>Organization</w:t>
            </w:r>
            <w:proofErr w:type="spellEnd"/>
            <w:r w:rsidR="00784F1C">
              <w:t xml:space="preserve"> – ILO </w:t>
            </w:r>
            <w:r w:rsidR="00DF65C5">
              <w:t xml:space="preserve">lykilsamþykktir </w:t>
            </w:r>
            <w:r w:rsidR="00784F1C">
              <w:t>29, 87, 98, 100,</w:t>
            </w:r>
            <w:r w:rsidR="006C072C">
              <w:t xml:space="preserve"> </w:t>
            </w:r>
            <w:r w:rsidR="00784F1C">
              <w:t>105, 111, 138 og 182) eða brot á almennum réttindum (réttindi sem hafa verið við lýði í lengri tíma).</w:t>
            </w:r>
          </w:p>
          <w:p w:rsidR="00784F1C" w:rsidRDefault="00E00E08" w:rsidP="00784F1C">
            <w:pPr>
              <w:pStyle w:val="ListParagraph"/>
              <w:numPr>
                <w:ilvl w:val="0"/>
                <w:numId w:val="9"/>
              </w:numPr>
            </w:pPr>
            <w:r>
              <w:t>Ó</w:t>
            </w:r>
            <w:r w:rsidR="00784F1C">
              <w:t>gn</w:t>
            </w:r>
            <w:r w:rsidR="00DF65C5">
              <w:t>un</w:t>
            </w:r>
            <w:r w:rsidR="00784F1C">
              <w:t xml:space="preserve"> svæð</w:t>
            </w:r>
            <w:r w:rsidR="00DF65C5">
              <w:t>a</w:t>
            </w:r>
            <w:r w:rsidR="00784F1C">
              <w:t xml:space="preserve"> </w:t>
            </w:r>
            <w:r w:rsidR="00DF65C5">
              <w:t xml:space="preserve">með hátt verndargildi (e. </w:t>
            </w:r>
            <w:proofErr w:type="spellStart"/>
            <w:r w:rsidR="00784F1C">
              <w:t>High</w:t>
            </w:r>
            <w:proofErr w:type="spellEnd"/>
            <w:r w:rsidR="00784F1C">
              <w:t xml:space="preserve"> </w:t>
            </w:r>
            <w:proofErr w:type="spellStart"/>
            <w:r w:rsidR="00784F1C">
              <w:t>Conservation</w:t>
            </w:r>
            <w:proofErr w:type="spellEnd"/>
            <w:r w:rsidR="00784F1C">
              <w:t xml:space="preserve"> </w:t>
            </w:r>
            <w:proofErr w:type="spellStart"/>
            <w:r w:rsidR="00784F1C">
              <w:t>Values</w:t>
            </w:r>
            <w:proofErr w:type="spellEnd"/>
            <w:r w:rsidR="00DF65C5">
              <w:t>)</w:t>
            </w:r>
            <w:r w:rsidR="00784F1C">
              <w:t xml:space="preserve"> samkvæmt HCV </w:t>
            </w:r>
            <w:proofErr w:type="spellStart"/>
            <w:r w:rsidR="00784F1C">
              <w:t>Network</w:t>
            </w:r>
            <w:proofErr w:type="spellEnd"/>
            <w:r w:rsidR="00784F1C">
              <w:t xml:space="preserve"> </w:t>
            </w:r>
            <w:proofErr w:type="spellStart"/>
            <w:r w:rsidR="00784F1C">
              <w:t>Charter</w:t>
            </w:r>
            <w:proofErr w:type="spellEnd"/>
            <w:r w:rsidR="00784F1C">
              <w:t xml:space="preserve"> eða sambærilegu.</w:t>
            </w:r>
          </w:p>
          <w:p w:rsidR="00784F1C" w:rsidRDefault="00E00E08" w:rsidP="00784F1C">
            <w:pPr>
              <w:pStyle w:val="ListParagraph"/>
              <w:numPr>
                <w:ilvl w:val="0"/>
                <w:numId w:val="9"/>
              </w:numPr>
            </w:pPr>
            <w:r>
              <w:t>B</w:t>
            </w:r>
            <w:r w:rsidR="00DF65C5">
              <w:t>reyttri landnotkun á n</w:t>
            </w:r>
            <w:r w:rsidR="00784F1C">
              <w:t>áttúruleg</w:t>
            </w:r>
            <w:r w:rsidR="00DF65C5">
              <w:t>um</w:t>
            </w:r>
            <w:r w:rsidR="00784F1C">
              <w:t xml:space="preserve"> vistkerf</w:t>
            </w:r>
            <w:r w:rsidR="00DF65C5">
              <w:t>um (t.d. ef regnskógi</w:t>
            </w:r>
            <w:r w:rsidR="00784F1C">
              <w:t xml:space="preserve"> hefur verið breytt í ræktarland. </w:t>
            </w:r>
            <w:r w:rsidR="00DF65C5">
              <w:t>Undantekning eru b</w:t>
            </w:r>
            <w:r w:rsidR="00784F1C">
              <w:t>reyting</w:t>
            </w:r>
            <w:r w:rsidR="00DF65C5">
              <w:t>ar</w:t>
            </w:r>
            <w:r w:rsidR="00784F1C">
              <w:t xml:space="preserve"> vegna mannvirkja sem hafa áhrif á smærri svæði, líkt og vegna lagningu vega eða vindbúa).</w:t>
            </w:r>
          </w:p>
          <w:p w:rsidR="00784F1C" w:rsidRPr="00DF65C5" w:rsidRDefault="00784F1C" w:rsidP="00DF65C5">
            <w:r w:rsidRPr="001135B4">
              <w:rPr>
                <w:b/>
              </w:rPr>
              <w:t>Staðfesting</w:t>
            </w:r>
            <w:r>
              <w:t>: Vörur með FSC eða PEFC vottun auk vottun FSC um sjálfbæra stjórnun skóga (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Certif</w:t>
            </w:r>
            <w:r w:rsidR="00DF65C5">
              <w:t>ication</w:t>
            </w:r>
            <w:proofErr w:type="spellEnd"/>
            <w:r w:rsidR="00DF65C5">
              <w:t>) eða sambærileg vottun.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C5" w:rsidRPr="008E5D68" w:rsidRDefault="00DF65C5" w:rsidP="00A7721E">
            <w:pPr>
              <w:pStyle w:val="ListParagraph"/>
              <w:numPr>
                <w:ilvl w:val="0"/>
                <w:numId w:val="32"/>
              </w:numPr>
              <w:spacing w:after="200"/>
              <w:rPr>
                <w:b/>
              </w:rPr>
            </w:pPr>
            <w:r w:rsidRPr="008E5D68">
              <w:rPr>
                <w:b/>
              </w:rPr>
              <w:t>Ráðstafanir til að koma í veg fyrir umdeildan uppruna (nýjar trefjar)</w:t>
            </w:r>
          </w:p>
          <w:p w:rsidR="00DF65C5" w:rsidRDefault="00DF65C5" w:rsidP="00DF65C5">
            <w:r>
              <w:t>Birgjar skulu nota áreiðanleg kerfi til að vakta og rekja uppruna hráefnis til að fyrirbyggja að pappírinn tengist: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2"/>
              </w:numPr>
            </w:pPr>
            <w:r>
              <w:t>B</w:t>
            </w:r>
            <w:r w:rsidR="00DF65C5">
              <w:t>rotum á mannréttindum (</w:t>
            </w:r>
            <w:proofErr w:type="spellStart"/>
            <w:r w:rsidR="00DF65C5">
              <w:t>International</w:t>
            </w:r>
            <w:proofErr w:type="spellEnd"/>
            <w:r w:rsidR="00DF65C5">
              <w:t xml:space="preserve"> </w:t>
            </w:r>
            <w:proofErr w:type="spellStart"/>
            <w:r w:rsidR="00DF65C5">
              <w:t>Labour</w:t>
            </w:r>
            <w:proofErr w:type="spellEnd"/>
            <w:r w:rsidR="00DF65C5">
              <w:t xml:space="preserve"> </w:t>
            </w:r>
            <w:proofErr w:type="spellStart"/>
            <w:r w:rsidR="00DF65C5">
              <w:t>Organization</w:t>
            </w:r>
            <w:proofErr w:type="spellEnd"/>
            <w:r w:rsidR="00DF65C5">
              <w:t xml:space="preserve"> – ILO lykilsamþykktir 29, 87, 98, 100,</w:t>
            </w:r>
            <w:r w:rsidR="006C072C">
              <w:t xml:space="preserve"> </w:t>
            </w:r>
            <w:r w:rsidR="00DF65C5">
              <w:t>105, 111, 138 og 182) eða brot á almennum réttindum (réttindi sem hafa verið við lýði í lengri tíma).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2"/>
              </w:numPr>
            </w:pPr>
            <w:r>
              <w:t>Ó</w:t>
            </w:r>
            <w:r w:rsidR="00DF65C5">
              <w:t xml:space="preserve">gnun svæða með hátt verndargildi (e. </w:t>
            </w:r>
            <w:proofErr w:type="spellStart"/>
            <w:r w:rsidR="00DF65C5">
              <w:t>High</w:t>
            </w:r>
            <w:proofErr w:type="spellEnd"/>
            <w:r w:rsidR="00DF65C5">
              <w:t xml:space="preserve"> </w:t>
            </w:r>
            <w:proofErr w:type="spellStart"/>
            <w:r w:rsidR="00DF65C5">
              <w:t>Conservation</w:t>
            </w:r>
            <w:proofErr w:type="spellEnd"/>
            <w:r w:rsidR="00DF65C5">
              <w:t xml:space="preserve"> </w:t>
            </w:r>
            <w:proofErr w:type="spellStart"/>
            <w:r w:rsidR="00DF65C5">
              <w:t>Values</w:t>
            </w:r>
            <w:proofErr w:type="spellEnd"/>
            <w:r w:rsidR="00DF65C5">
              <w:t xml:space="preserve">) samkvæmt HCV </w:t>
            </w:r>
            <w:proofErr w:type="spellStart"/>
            <w:r w:rsidR="00DF65C5">
              <w:t>Network</w:t>
            </w:r>
            <w:proofErr w:type="spellEnd"/>
            <w:r w:rsidR="00DF65C5">
              <w:t xml:space="preserve"> </w:t>
            </w:r>
            <w:proofErr w:type="spellStart"/>
            <w:r w:rsidR="00DF65C5">
              <w:t>Charter</w:t>
            </w:r>
            <w:proofErr w:type="spellEnd"/>
            <w:r w:rsidR="00DF65C5">
              <w:t xml:space="preserve"> eða sambærilegu.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2"/>
              </w:numPr>
            </w:pPr>
            <w:r>
              <w:t>B</w:t>
            </w:r>
            <w:r w:rsidR="00DF65C5">
              <w:t>reyttri landnotkun á náttúrulegum vistkerfum (t.d. ef regnskógi hefur verið breytt í ræktarland. Undantekning eru breytingar vegna mannvirkja sem hafa áhrif á smærri svæði, líkt og vegna lagningu vega eða vindbúa).</w:t>
            </w:r>
          </w:p>
          <w:p w:rsidR="00784F1C" w:rsidRPr="00DF65C5" w:rsidRDefault="00DF65C5" w:rsidP="00DF65C5">
            <w:pPr>
              <w:spacing w:after="200"/>
              <w:rPr>
                <w:b/>
              </w:rPr>
            </w:pPr>
            <w:r w:rsidRPr="00DF65C5">
              <w:rPr>
                <w:b/>
              </w:rPr>
              <w:t>Staðfesting</w:t>
            </w:r>
            <w:r>
              <w:t>: Vörur með FSC eða PEFC vottun auk vottun FSC um sjálfbæra stjórnun skóga (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Certification</w:t>
            </w:r>
            <w:proofErr w:type="spellEnd"/>
            <w:r>
              <w:t>) eða sambærileg vottun.</w:t>
            </w:r>
          </w:p>
        </w:tc>
      </w:tr>
    </w:tbl>
    <w:p w:rsidR="00FD62C4" w:rsidRDefault="00FD62C4" w:rsidP="00FD62C4">
      <w:pPr>
        <w:rPr>
          <w:highlight w:val="lightGray"/>
        </w:rPr>
      </w:pPr>
    </w:p>
    <w:p w:rsidR="00FD62C4" w:rsidRDefault="00FD62C4">
      <w:pPr>
        <w:spacing w:after="200"/>
        <w:rPr>
          <w:rFonts w:eastAsiaTheme="majorEastAsia" w:cstheme="majorBidi"/>
          <w:b/>
          <w:bCs/>
          <w:smallCaps/>
          <w:sz w:val="32"/>
          <w:szCs w:val="28"/>
          <w:highlight w:val="lightGray"/>
        </w:rPr>
      </w:pPr>
      <w:r>
        <w:rPr>
          <w:highlight w:val="lightGray"/>
        </w:rPr>
        <w:br w:type="page"/>
      </w:r>
    </w:p>
    <w:p w:rsidR="00AD29A1" w:rsidRDefault="00576787" w:rsidP="00FD62C4">
      <w:pPr>
        <w:pStyle w:val="Heading1"/>
      </w:pPr>
      <w:r>
        <w:lastRenderedPageBreak/>
        <w:t>PRENT- OG LJÓSRITUNARPAPPÍR</w:t>
      </w:r>
    </w:p>
    <w:tbl>
      <w:tblPr>
        <w:tblStyle w:val="TableGrid11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8F280A" w:rsidTr="00E00E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280A" w:rsidRDefault="008F280A" w:rsidP="00E441DE">
            <w:pPr>
              <w:pStyle w:val="Titill"/>
            </w:pPr>
            <w:r>
              <w:t>Grunnviðmið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280A" w:rsidRDefault="008F280A" w:rsidP="00E441DE">
            <w:pPr>
              <w:spacing w:before="120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Ítarviðmið</w:t>
            </w:r>
          </w:p>
        </w:tc>
      </w:tr>
      <w:tr w:rsidR="008F280A" w:rsidTr="00E00E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280A" w:rsidRDefault="008F280A" w:rsidP="00E441DE">
            <w:pPr>
              <w:spacing w:line="276" w:lineRule="auto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280A" w:rsidRDefault="008F280A" w:rsidP="00E441DE">
            <w:pPr>
              <w:spacing w:line="276" w:lineRule="auto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</w:tr>
      <w:tr w:rsidR="008F280A" w:rsidTr="00E00E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F" w:rsidRPr="006C5B6B" w:rsidRDefault="0082016F" w:rsidP="00A7721E">
            <w:pPr>
              <w:pStyle w:val="ListParagraph"/>
              <w:numPr>
                <w:ilvl w:val="0"/>
                <w:numId w:val="33"/>
              </w:numPr>
              <w:spacing w:after="200"/>
              <w:rPr>
                <w:b/>
              </w:rPr>
            </w:pPr>
            <w:r>
              <w:rPr>
                <w:b/>
              </w:rPr>
              <w:t>U</w:t>
            </w:r>
            <w:r w:rsidRPr="006C5B6B">
              <w:rPr>
                <w:b/>
              </w:rPr>
              <w:t>pprun</w:t>
            </w:r>
            <w:r>
              <w:rPr>
                <w:b/>
              </w:rPr>
              <w:t>i</w:t>
            </w:r>
            <w:r w:rsidRPr="006C5B6B">
              <w:rPr>
                <w:b/>
              </w:rPr>
              <w:t xml:space="preserve"> viðar</w:t>
            </w:r>
            <w:r>
              <w:rPr>
                <w:b/>
              </w:rPr>
              <w:t>ins</w:t>
            </w:r>
            <w:r w:rsidRPr="006C5B6B">
              <w:rPr>
                <w:b/>
              </w:rPr>
              <w:t xml:space="preserve"> (ný</w:t>
            </w:r>
            <w:r>
              <w:rPr>
                <w:b/>
              </w:rPr>
              <w:t>jar</w:t>
            </w:r>
            <w:r w:rsidRPr="006C5B6B">
              <w:rPr>
                <w:b/>
              </w:rPr>
              <w:t xml:space="preserve"> trefja</w:t>
            </w:r>
            <w:r>
              <w:rPr>
                <w:b/>
              </w:rPr>
              <w:t>r</w:t>
            </w:r>
            <w:r w:rsidRPr="006C5B6B">
              <w:rPr>
                <w:b/>
              </w:rPr>
              <w:t>)</w:t>
            </w:r>
          </w:p>
          <w:p w:rsidR="0082016F" w:rsidRDefault="0082016F" w:rsidP="0082016F">
            <w:pPr>
              <w:spacing w:after="200"/>
            </w:pPr>
            <w:r>
              <w:t>Hráefni pappírs skal vera frá skógrækt sem uppfyllir eftirfarandi skilyrði:</w:t>
            </w:r>
          </w:p>
          <w:p w:rsidR="0082016F" w:rsidRPr="0082016F" w:rsidRDefault="0082016F" w:rsidP="00E00E08">
            <w:pPr>
              <w:pStyle w:val="ListParagraph"/>
              <w:numPr>
                <w:ilvl w:val="0"/>
                <w:numId w:val="43"/>
              </w:numPr>
              <w:spacing w:after="200"/>
            </w:pPr>
            <w:r w:rsidRPr="0082016F">
              <w:t>Lögleg skógrækt eða nýtingaréttur.</w:t>
            </w:r>
          </w:p>
          <w:p w:rsidR="0082016F" w:rsidRDefault="0082016F" w:rsidP="00E00E08">
            <w:pPr>
              <w:pStyle w:val="ListParagraph"/>
              <w:numPr>
                <w:ilvl w:val="0"/>
                <w:numId w:val="43"/>
              </w:numPr>
              <w:spacing w:after="200"/>
            </w:pPr>
            <w:r>
              <w:t>Fylgir alþjóðlegum lögum og samþykktum um nýtingu, umhverfismál, vinnumarkað, mannréttindi, heilsu og öryggi ásamt því að virða nýtingarétt annarra.</w:t>
            </w:r>
          </w:p>
          <w:p w:rsidR="0082016F" w:rsidRDefault="0082016F" w:rsidP="00E00E08">
            <w:pPr>
              <w:pStyle w:val="ListParagraph"/>
              <w:numPr>
                <w:ilvl w:val="0"/>
                <w:numId w:val="43"/>
              </w:numPr>
              <w:spacing w:after="200"/>
            </w:pPr>
            <w:r>
              <w:t>Greiðir viðeigandi skatta og gjöld vegna nýtingarinnar.</w:t>
            </w:r>
          </w:p>
          <w:p w:rsidR="0082016F" w:rsidRDefault="0082016F" w:rsidP="00E00E08">
            <w:pPr>
              <w:pStyle w:val="ListParagraph"/>
              <w:numPr>
                <w:ilvl w:val="0"/>
                <w:numId w:val="43"/>
              </w:numPr>
              <w:spacing w:after="200"/>
            </w:pPr>
            <w:r>
              <w:t xml:space="preserve">Uppfyllir samþykktir CITES um alþjóðarverslun (CITES, </w:t>
            </w:r>
            <w:proofErr w:type="spellStart"/>
            <w:r>
              <w:t>Convention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>. Gildir aðeins um ákveðnar tegundir trjá</w:t>
            </w:r>
            <w:r w:rsidR="00E00E08">
              <w:t>a</w:t>
            </w:r>
            <w:r>
              <w:t xml:space="preserve">, sjá heimasíðu CITES: </w:t>
            </w:r>
            <w:hyperlink r:id="rId17" w:history="1">
              <w:r w:rsidRPr="00FA06C5">
                <w:rPr>
                  <w:rStyle w:val="Hyperlink"/>
                </w:rPr>
                <w:t>www.cites.org/eng/disc/species.shtml</w:t>
              </w:r>
            </w:hyperlink>
            <w:r>
              <w:t>).</w:t>
            </w:r>
          </w:p>
          <w:p w:rsidR="008F280A" w:rsidRDefault="0082016F" w:rsidP="0082016F">
            <w:r w:rsidRPr="001135B4">
              <w:rPr>
                <w:b/>
              </w:rPr>
              <w:t>Staðfesting</w:t>
            </w:r>
            <w:r>
              <w:t>: Vörur með FSC eða PEFC vottun eða sambærilegt, rekjanlegar vörur sem innihalda hráefni með FLEGT leyfi.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F" w:rsidRPr="006C5B6B" w:rsidRDefault="0082016F" w:rsidP="00A7721E">
            <w:pPr>
              <w:pStyle w:val="ListParagraph"/>
              <w:numPr>
                <w:ilvl w:val="0"/>
                <w:numId w:val="34"/>
              </w:numPr>
              <w:spacing w:after="200"/>
              <w:rPr>
                <w:b/>
              </w:rPr>
            </w:pPr>
            <w:r>
              <w:rPr>
                <w:b/>
              </w:rPr>
              <w:t>U</w:t>
            </w:r>
            <w:r w:rsidRPr="006C5B6B">
              <w:rPr>
                <w:b/>
              </w:rPr>
              <w:t>pprun</w:t>
            </w:r>
            <w:r>
              <w:rPr>
                <w:b/>
              </w:rPr>
              <w:t>i</w:t>
            </w:r>
            <w:r w:rsidRPr="006C5B6B">
              <w:rPr>
                <w:b/>
              </w:rPr>
              <w:t xml:space="preserve"> viðar</w:t>
            </w:r>
            <w:r>
              <w:rPr>
                <w:b/>
              </w:rPr>
              <w:t>ins</w:t>
            </w:r>
            <w:r w:rsidRPr="006C5B6B">
              <w:rPr>
                <w:b/>
              </w:rPr>
              <w:t xml:space="preserve"> (ný</w:t>
            </w:r>
            <w:r>
              <w:rPr>
                <w:b/>
              </w:rPr>
              <w:t>jar</w:t>
            </w:r>
            <w:r w:rsidRPr="006C5B6B">
              <w:rPr>
                <w:b/>
              </w:rPr>
              <w:t xml:space="preserve"> trefja</w:t>
            </w:r>
            <w:r>
              <w:rPr>
                <w:b/>
              </w:rPr>
              <w:t>r</w:t>
            </w:r>
            <w:r w:rsidRPr="006C5B6B">
              <w:rPr>
                <w:b/>
              </w:rPr>
              <w:t>)</w:t>
            </w:r>
          </w:p>
          <w:p w:rsidR="0082016F" w:rsidRDefault="0082016F" w:rsidP="0082016F">
            <w:pPr>
              <w:spacing w:after="200"/>
            </w:pPr>
            <w:r>
              <w:t>Hráefni pappírs skal vera frá skógrækt sem uppfyllir eftirfarandi skilyrði:</w:t>
            </w:r>
          </w:p>
          <w:p w:rsidR="0082016F" w:rsidRPr="0082016F" w:rsidRDefault="0082016F" w:rsidP="00E00E08">
            <w:pPr>
              <w:pStyle w:val="ListParagraph"/>
              <w:numPr>
                <w:ilvl w:val="0"/>
                <w:numId w:val="44"/>
              </w:numPr>
              <w:spacing w:after="200"/>
            </w:pPr>
            <w:r w:rsidRPr="0082016F">
              <w:t>Lögleg skógrækt eða nýtingaréttur.</w:t>
            </w:r>
          </w:p>
          <w:p w:rsidR="0082016F" w:rsidRDefault="0082016F" w:rsidP="00E00E08">
            <w:pPr>
              <w:pStyle w:val="ListParagraph"/>
              <w:numPr>
                <w:ilvl w:val="0"/>
                <w:numId w:val="44"/>
              </w:numPr>
              <w:spacing w:after="200"/>
            </w:pPr>
            <w:r>
              <w:t>Fylgir alþjóðlegum lögum og samþykktum um nýtingu, umhverfismál, vinnumarkað, mannréttindi, heilsu og öryggi ásamt því að virða nýtingarétt annarra.</w:t>
            </w:r>
          </w:p>
          <w:p w:rsidR="0082016F" w:rsidRDefault="0082016F" w:rsidP="00E00E08">
            <w:pPr>
              <w:pStyle w:val="ListParagraph"/>
              <w:numPr>
                <w:ilvl w:val="0"/>
                <w:numId w:val="44"/>
              </w:numPr>
              <w:spacing w:after="200"/>
            </w:pPr>
            <w:r>
              <w:t>Greiðir viðeigandi skatta og gjöld vegna nýtingarinnar.</w:t>
            </w:r>
          </w:p>
          <w:p w:rsidR="0082016F" w:rsidRDefault="0082016F" w:rsidP="00E00E08">
            <w:pPr>
              <w:pStyle w:val="ListParagraph"/>
              <w:numPr>
                <w:ilvl w:val="0"/>
                <w:numId w:val="44"/>
              </w:numPr>
              <w:spacing w:after="200"/>
            </w:pPr>
            <w:r>
              <w:t xml:space="preserve">Uppfyllir samþykktir CITES um alþjóðarverslun (CITES, </w:t>
            </w:r>
            <w:proofErr w:type="spellStart"/>
            <w:r>
              <w:t>Convention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>. Gildir aðeins um ákveðnar tegundir trjá</w:t>
            </w:r>
            <w:r w:rsidR="00E00E08">
              <w:t>a</w:t>
            </w:r>
            <w:r>
              <w:t xml:space="preserve">, sjá heimasíðu CITES: </w:t>
            </w:r>
            <w:hyperlink r:id="rId18" w:history="1">
              <w:r w:rsidRPr="00FA06C5">
                <w:rPr>
                  <w:rStyle w:val="Hyperlink"/>
                </w:rPr>
                <w:t>www.cites.org/eng/disc/species.shtml</w:t>
              </w:r>
            </w:hyperlink>
            <w:r>
              <w:t>).</w:t>
            </w:r>
          </w:p>
          <w:p w:rsidR="008F280A" w:rsidRDefault="0082016F" w:rsidP="0082016F">
            <w:r w:rsidRPr="001135B4">
              <w:rPr>
                <w:b/>
              </w:rPr>
              <w:t>Staðfesting</w:t>
            </w:r>
            <w:r>
              <w:t>: Vörur með FSC eða PEFC vottun eða sambærilegt, rekjanlegar vörur sem innihalda hráefni með FLEGT leyfi.</w:t>
            </w:r>
          </w:p>
        </w:tc>
      </w:tr>
      <w:tr w:rsidR="008F280A" w:rsidTr="00E00E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A" w:rsidRPr="007006E7" w:rsidRDefault="008F280A" w:rsidP="00A7721E">
            <w:pPr>
              <w:pStyle w:val="ListParagraph"/>
              <w:numPr>
                <w:ilvl w:val="0"/>
                <w:numId w:val="34"/>
              </w:numPr>
              <w:spacing w:after="200"/>
              <w:rPr>
                <w:b/>
              </w:rPr>
            </w:pPr>
            <w:r w:rsidRPr="007006E7">
              <w:rPr>
                <w:b/>
              </w:rPr>
              <w:t>Losun mengandi efna í vatn og andrúmsloft</w:t>
            </w:r>
          </w:p>
          <w:p w:rsidR="00E302B4" w:rsidRPr="007006E7" w:rsidRDefault="00E00E08" w:rsidP="00E302B4">
            <w:pPr>
              <w:spacing w:after="200"/>
            </w:pPr>
            <w:r w:rsidRPr="007006E7">
              <w:t>Losun í vatn og andrúmsloft við framleiðslu pappírsmauks og pappírs fyrir breyturnar fosfór (P), brennistein (S), köfnunarefnisoxíð (</w:t>
            </w:r>
            <w:proofErr w:type="spellStart"/>
            <w:r w:rsidRPr="007006E7">
              <w:t>NOx</w:t>
            </w:r>
            <w:proofErr w:type="spellEnd"/>
            <w:r w:rsidRPr="007006E7">
              <w:t xml:space="preserve">) og efnafræðilega súrefnisþurrð (e. </w:t>
            </w:r>
            <w:proofErr w:type="spellStart"/>
            <w:r w:rsidRPr="007006E7">
              <w:t>Chemical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Oxigen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Demand</w:t>
            </w:r>
            <w:proofErr w:type="spellEnd"/>
            <w:r w:rsidRPr="007006E7">
              <w:t>, COD) skal reikna sem „refsistig“ samkvæmt viðmiðum Evrópublómsins. Við útreikningana skal styðjast við viðauka „Viðmiðunargildi, losun mengandi efna í vatn og andrúmsloft“. Heildarfjöldi refsistiga má ekki vera meiri en 4,0 og hvert einstakt refsistig má ekki vera meira en 1,5</w:t>
            </w:r>
            <w:r w:rsidR="00E302B4" w:rsidRPr="007006E7">
              <w:t>.</w:t>
            </w:r>
          </w:p>
          <w:p w:rsidR="00E302B4" w:rsidRPr="007006E7" w:rsidRDefault="00E302B4" w:rsidP="00E302B4">
            <w:pPr>
              <w:spacing w:after="200"/>
            </w:pPr>
            <w:r w:rsidRPr="007006E7">
              <w:rPr>
                <w:b/>
              </w:rPr>
              <w:t>Staðfesting</w:t>
            </w:r>
            <w:r w:rsidRPr="007006E7">
              <w:t>: Vottun Evrópublómsins</w:t>
            </w:r>
            <w:r w:rsidR="00E00E08" w:rsidRPr="007006E7">
              <w:t>,</w:t>
            </w:r>
            <w:r w:rsidRPr="007006E7">
              <w:t xml:space="preserve"> Svansins</w:t>
            </w:r>
            <w:r w:rsidR="00E00E08" w:rsidRPr="007006E7">
              <w:t xml:space="preserve"> eða t</w:t>
            </w:r>
            <w:r w:rsidRPr="007006E7">
              <w:t xml:space="preserve">æknilýsing sem staðfestir að viðmið hafi verið uppfyllt. </w:t>
            </w:r>
          </w:p>
          <w:p w:rsidR="008F280A" w:rsidRPr="007006E7" w:rsidRDefault="00E302B4" w:rsidP="00E302B4">
            <w:pPr>
              <w:rPr>
                <w:b/>
              </w:rPr>
            </w:pPr>
            <w:r w:rsidRPr="007006E7">
              <w:rPr>
                <w:b/>
              </w:rPr>
              <w:t>Viðauki:</w:t>
            </w:r>
            <w:r w:rsidRPr="007006E7">
              <w:t xml:space="preserve"> Viðmiðunargildi, losun mengandi </w:t>
            </w:r>
            <w:r w:rsidRPr="007006E7">
              <w:lastRenderedPageBreak/>
              <w:t>efna í vatn og andrúmsloft.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A" w:rsidRPr="007006E7" w:rsidRDefault="008F280A" w:rsidP="00A7721E">
            <w:pPr>
              <w:pStyle w:val="ListParagraph"/>
              <w:numPr>
                <w:ilvl w:val="0"/>
                <w:numId w:val="32"/>
              </w:numPr>
              <w:spacing w:after="200"/>
              <w:rPr>
                <w:b/>
              </w:rPr>
            </w:pPr>
            <w:r w:rsidRPr="007006E7">
              <w:rPr>
                <w:b/>
              </w:rPr>
              <w:lastRenderedPageBreak/>
              <w:t>Losun mengandi efna í vatn og andrúmsloft</w:t>
            </w:r>
          </w:p>
          <w:p w:rsidR="00E302B4" w:rsidRPr="007006E7" w:rsidRDefault="00E00E08" w:rsidP="00E302B4">
            <w:pPr>
              <w:spacing w:after="200"/>
            </w:pPr>
            <w:r w:rsidRPr="007006E7">
              <w:t>Losun í vatn og andrúmsloft við framleiðslu pappírsmauks og pappírs fyrir breyturnar fosfór (P), brennistein (S), köfnunarefnisoxíð (</w:t>
            </w:r>
            <w:proofErr w:type="spellStart"/>
            <w:r w:rsidRPr="007006E7">
              <w:t>NOx</w:t>
            </w:r>
            <w:proofErr w:type="spellEnd"/>
            <w:r w:rsidRPr="007006E7">
              <w:t xml:space="preserve">) og efnafræðilega súrefnisþurrð (e. </w:t>
            </w:r>
            <w:proofErr w:type="spellStart"/>
            <w:r w:rsidRPr="007006E7">
              <w:t>Chemical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Oxigen</w:t>
            </w:r>
            <w:proofErr w:type="spellEnd"/>
            <w:r w:rsidRPr="007006E7">
              <w:t xml:space="preserve"> </w:t>
            </w:r>
            <w:proofErr w:type="spellStart"/>
            <w:r w:rsidRPr="007006E7">
              <w:t>Demand</w:t>
            </w:r>
            <w:proofErr w:type="spellEnd"/>
            <w:r w:rsidRPr="007006E7">
              <w:t>, COD) skal reikna sem „refsistig“ samkvæmt viðmiðum Evrópublómsins. Við útreikningana skal styðjast við viðauka „Viðmiðunargildi, losun mengandi efna í vatn og andrúmsloft“. Heildarfjöldi refsistiga má ekki vera meiri en 4,0 og hvert einstakt refsistig má ekki vera meira en 1,5.</w:t>
            </w:r>
          </w:p>
          <w:p w:rsidR="00E302B4" w:rsidRPr="007006E7" w:rsidRDefault="00E302B4" w:rsidP="00E302B4">
            <w:pPr>
              <w:spacing w:after="200"/>
            </w:pPr>
            <w:r w:rsidRPr="007006E7">
              <w:rPr>
                <w:b/>
              </w:rPr>
              <w:t>Staðfesting</w:t>
            </w:r>
            <w:r w:rsidRPr="007006E7">
              <w:t>: Vottun Evrópublómsins</w:t>
            </w:r>
            <w:r w:rsidR="00E00E08" w:rsidRPr="007006E7">
              <w:t xml:space="preserve">, </w:t>
            </w:r>
            <w:r w:rsidRPr="007006E7">
              <w:t>Svansins</w:t>
            </w:r>
            <w:r w:rsidR="00E00E08" w:rsidRPr="007006E7">
              <w:t xml:space="preserve"> eða t</w:t>
            </w:r>
            <w:r w:rsidRPr="007006E7">
              <w:t xml:space="preserve">æknilýsing sem staðfestir að viðmið hafi verið uppfyllt. </w:t>
            </w:r>
          </w:p>
          <w:p w:rsidR="008F280A" w:rsidRPr="007006E7" w:rsidRDefault="00E302B4" w:rsidP="00E302B4">
            <w:pPr>
              <w:rPr>
                <w:b/>
              </w:rPr>
            </w:pPr>
            <w:r w:rsidRPr="007006E7">
              <w:rPr>
                <w:b/>
              </w:rPr>
              <w:t>Viðauki:</w:t>
            </w:r>
            <w:r w:rsidRPr="007006E7">
              <w:t xml:space="preserve"> Viðmiðunargildi, losun mengandi </w:t>
            </w:r>
            <w:r w:rsidRPr="007006E7">
              <w:lastRenderedPageBreak/>
              <w:t>efna í vatn og andrúmsloft.</w:t>
            </w:r>
          </w:p>
        </w:tc>
      </w:tr>
      <w:tr w:rsidR="008F280A" w:rsidTr="00E00E0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280A" w:rsidRDefault="008F280A" w:rsidP="00E441D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MATSVIÐMIÐ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280A" w:rsidRDefault="008F280A" w:rsidP="00E441D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MATSVIÐMIÐ</w:t>
            </w:r>
          </w:p>
        </w:tc>
      </w:tr>
      <w:tr w:rsidR="0000529F" w:rsidTr="00E00E08">
        <w:trPr>
          <w:trHeight w:val="14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C2" w:rsidRPr="006C5B6B" w:rsidRDefault="00ED76C2" w:rsidP="00ED76C2">
            <w:pPr>
              <w:pStyle w:val="ListParagraph"/>
              <w:numPr>
                <w:ilvl w:val="0"/>
                <w:numId w:val="24"/>
              </w:numPr>
              <w:spacing w:after="200"/>
              <w:rPr>
                <w:b/>
              </w:rPr>
            </w:pPr>
            <w:r w:rsidRPr="006C5B6B">
              <w:rPr>
                <w:b/>
              </w:rPr>
              <w:t>Klórfrír pappír</w:t>
            </w:r>
          </w:p>
          <w:p w:rsidR="00ED76C2" w:rsidRPr="00CC0336" w:rsidRDefault="00ED76C2" w:rsidP="00ED76C2">
            <w:pPr>
              <w:shd w:val="clear" w:color="auto" w:fill="FFFFFF"/>
              <w:spacing w:line="255" w:lineRule="atLeast"/>
            </w:pPr>
            <w:r>
              <w:t>Pappírsmauk sem notað er í pappírsframleiðslu skal vera bleikt án klórgass, þ.e. samkvæmt aðferðum ETC (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 eða TCF (</w:t>
            </w:r>
            <w:proofErr w:type="spellStart"/>
            <w:r>
              <w:t>Totally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).</w:t>
            </w:r>
            <w:r w:rsidRPr="00CC0336">
              <w:t xml:space="preserve"> AOX-</w:t>
            </w:r>
            <w:r>
              <w:t xml:space="preserve">losun skal ekki vera meira en </w:t>
            </w:r>
            <w:r w:rsidRPr="00CC0336">
              <w:t>0,</w:t>
            </w:r>
            <w:r>
              <w:t>17</w:t>
            </w:r>
            <w:r w:rsidRPr="00CC0336">
              <w:t xml:space="preserve"> kg/ton</w:t>
            </w:r>
            <w:r>
              <w:t>n</w:t>
            </w:r>
            <w:r w:rsidRPr="00CC0336">
              <w:t xml:space="preserve"> ma</w:t>
            </w:r>
            <w:r>
              <w:t>uk</w:t>
            </w:r>
            <w:r w:rsidRPr="00CC0336">
              <w:t xml:space="preserve"> (</w:t>
            </w:r>
            <w:proofErr w:type="spellStart"/>
            <w:r w:rsidRPr="00CC0336">
              <w:t>med</w:t>
            </w:r>
            <w:proofErr w:type="spellEnd"/>
            <w:r w:rsidRPr="00CC0336">
              <w:t xml:space="preserve"> 90 % TS).</w:t>
            </w:r>
          </w:p>
          <w:p w:rsidR="00ED76C2" w:rsidRPr="00CC0336" w:rsidRDefault="00FD2D45" w:rsidP="00ED76C2">
            <w:pPr>
              <w:shd w:val="clear" w:color="auto" w:fill="FFFFFF"/>
              <w:spacing w:after="0" w:line="255" w:lineRule="atLeast"/>
              <w:rPr>
                <w:b/>
              </w:rPr>
            </w:pPr>
            <w:hyperlink r:id="rId19" w:tooltip="Förslag till verifikat" w:history="1">
              <w:r w:rsidR="00ED76C2" w:rsidRPr="00CC0336">
                <w:rPr>
                  <w:b/>
                </w:rPr>
                <w:t>Staðfesting</w:t>
              </w:r>
            </w:hyperlink>
          </w:p>
          <w:p w:rsidR="0000529F" w:rsidRPr="00692E9E" w:rsidRDefault="00E00E08" w:rsidP="00E00E08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is-IS"/>
              </w:rPr>
            </w:pPr>
            <w:r>
              <w:t>Vottun</w:t>
            </w:r>
            <w:r w:rsidR="00ED76C2" w:rsidRPr="00CC0336">
              <w:t xml:space="preserve"> Evrópublóm</w:t>
            </w:r>
            <w:r>
              <w:t>sins eða t</w:t>
            </w:r>
            <w:r w:rsidR="00ED76C2">
              <w:t xml:space="preserve">æknilýsing sem staðfestir að viðmið hafi verið uppfyllt. </w:t>
            </w:r>
            <w:r w:rsidR="00ED76C2" w:rsidRPr="00CC0336">
              <w:t>(</w:t>
            </w:r>
            <w:r w:rsidR="00ED76C2">
              <w:t>útreikningar samkvæmt</w:t>
            </w:r>
            <w:r w:rsidR="00ED76C2" w:rsidRPr="00CC0336">
              <w:t xml:space="preserve"> </w:t>
            </w:r>
            <w:r w:rsidR="00ED76C2">
              <w:t xml:space="preserve">Evrópublóminu </w:t>
            </w:r>
            <w:r>
              <w:t>prent- eða ljósritunar</w:t>
            </w:r>
            <w:r w:rsidR="00ED76C2">
              <w:t>pappír liður</w:t>
            </w:r>
            <w:r w:rsidR="00ED76C2" w:rsidRPr="00CC0336">
              <w:t xml:space="preserve"> 1b).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F" w:rsidRPr="006C5B6B" w:rsidRDefault="0000529F" w:rsidP="00A7721E">
            <w:pPr>
              <w:pStyle w:val="ListParagraph"/>
              <w:numPr>
                <w:ilvl w:val="0"/>
                <w:numId w:val="35"/>
              </w:numPr>
              <w:spacing w:after="200"/>
              <w:rPr>
                <w:b/>
              </w:rPr>
            </w:pPr>
            <w:r w:rsidRPr="006C5B6B">
              <w:rPr>
                <w:b/>
              </w:rPr>
              <w:t>Klórfrír pappír</w:t>
            </w:r>
          </w:p>
          <w:p w:rsidR="00ED76C2" w:rsidRPr="00CC0336" w:rsidRDefault="00ED76C2" w:rsidP="00ED76C2">
            <w:pPr>
              <w:shd w:val="clear" w:color="auto" w:fill="FFFFFF"/>
              <w:spacing w:line="255" w:lineRule="atLeast"/>
            </w:pPr>
            <w:r>
              <w:t>Pappírsmauk sem notað er í pappírsframleiðslu skal vera bleikt án klórgass, þ.e. samkvæmt aðferðum ETC (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 eða TCF (</w:t>
            </w:r>
            <w:proofErr w:type="spellStart"/>
            <w:r>
              <w:t>Totally</w:t>
            </w:r>
            <w:proofErr w:type="spellEnd"/>
            <w:r>
              <w:t xml:space="preserve"> </w:t>
            </w:r>
            <w:proofErr w:type="spellStart"/>
            <w:r>
              <w:t>Chlorine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>).</w:t>
            </w:r>
            <w:r w:rsidRPr="00CC0336">
              <w:t xml:space="preserve"> AOX-</w:t>
            </w:r>
            <w:r>
              <w:t xml:space="preserve">losun skal ekki vera meira en </w:t>
            </w:r>
            <w:r w:rsidRPr="00CC0336">
              <w:t>0,</w:t>
            </w:r>
            <w:r>
              <w:t>10</w:t>
            </w:r>
            <w:r w:rsidRPr="00CC0336">
              <w:t xml:space="preserve"> kg/ton</w:t>
            </w:r>
            <w:r>
              <w:t>n</w:t>
            </w:r>
            <w:r w:rsidRPr="00CC0336">
              <w:t xml:space="preserve"> ma</w:t>
            </w:r>
            <w:r>
              <w:t>uk</w:t>
            </w:r>
            <w:r w:rsidRPr="00CC0336">
              <w:t xml:space="preserve"> (</w:t>
            </w:r>
            <w:proofErr w:type="spellStart"/>
            <w:r w:rsidRPr="00CC0336">
              <w:t>med</w:t>
            </w:r>
            <w:proofErr w:type="spellEnd"/>
            <w:r w:rsidRPr="00CC0336">
              <w:t xml:space="preserve"> 90 % TS).</w:t>
            </w:r>
          </w:p>
          <w:p w:rsidR="00ED76C2" w:rsidRPr="00CC0336" w:rsidRDefault="00FD2D45" w:rsidP="00ED76C2">
            <w:pPr>
              <w:shd w:val="clear" w:color="auto" w:fill="FFFFFF"/>
              <w:spacing w:after="0" w:line="255" w:lineRule="atLeast"/>
              <w:rPr>
                <w:b/>
              </w:rPr>
            </w:pPr>
            <w:hyperlink r:id="rId20" w:tooltip="Förslag till verifikat" w:history="1">
              <w:r w:rsidR="00ED76C2" w:rsidRPr="00CC0336">
                <w:rPr>
                  <w:b/>
                </w:rPr>
                <w:t>Staðfesting</w:t>
              </w:r>
            </w:hyperlink>
          </w:p>
          <w:p w:rsidR="0000529F" w:rsidRDefault="00E00E08" w:rsidP="00ED76C2">
            <w:r>
              <w:t>Vottun</w:t>
            </w:r>
            <w:r w:rsidRPr="00CC0336">
              <w:t xml:space="preserve"> Evrópublóm</w:t>
            </w:r>
            <w:r>
              <w:t xml:space="preserve">sins eða tæknilýsing sem staðfestir að viðmið hafi verið uppfyllt. </w:t>
            </w:r>
            <w:r w:rsidRPr="00CC0336">
              <w:t>(</w:t>
            </w:r>
            <w:r>
              <w:t>útreikningar samkvæmt</w:t>
            </w:r>
            <w:r w:rsidRPr="00CC0336">
              <w:t xml:space="preserve"> </w:t>
            </w:r>
            <w:r>
              <w:t>Evrópublóminu prent- eða ljósritunarpappír liður</w:t>
            </w:r>
            <w:r w:rsidRPr="00CC0336">
              <w:t xml:space="preserve"> 1b).</w:t>
            </w:r>
          </w:p>
        </w:tc>
      </w:tr>
      <w:tr w:rsidR="008F280A" w:rsidTr="00E00E08">
        <w:trPr>
          <w:trHeight w:val="14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F" w:rsidRPr="006C5B6B" w:rsidRDefault="004D238F" w:rsidP="00A7721E">
            <w:pPr>
              <w:pStyle w:val="ListParagraph"/>
              <w:numPr>
                <w:ilvl w:val="0"/>
                <w:numId w:val="24"/>
              </w:numPr>
              <w:spacing w:after="200"/>
              <w:rPr>
                <w:b/>
              </w:rPr>
            </w:pPr>
            <w:r>
              <w:rPr>
                <w:b/>
              </w:rPr>
              <w:t>Losun</w:t>
            </w:r>
            <w:r w:rsidR="008E5D68">
              <w:rPr>
                <w:b/>
              </w:rPr>
              <w:t xml:space="preserve"> gróðurhúsalofttegunda </w:t>
            </w:r>
          </w:p>
          <w:p w:rsidR="004D238F" w:rsidRPr="00A404C4" w:rsidRDefault="004D238F" w:rsidP="004D238F">
            <w:pPr>
              <w:shd w:val="clear" w:color="auto" w:fill="FFFFFF"/>
              <w:spacing w:line="255" w:lineRule="atLeast"/>
            </w:pPr>
            <w:r>
              <w:t>Losun koltvísýrings (CO</w:t>
            </w:r>
            <w:r w:rsidRPr="00306AAA">
              <w:rPr>
                <w:vertAlign w:val="subscript"/>
              </w:rPr>
              <w:t>2</w:t>
            </w:r>
            <w:r>
              <w:t xml:space="preserve">) vegna orkunotkunar við framleiðslu pappírsmauks og pappírs (rafmagnsnotkun talin með) skal ekki vera meiri en </w:t>
            </w:r>
            <w:r w:rsidRPr="00A404C4">
              <w:t xml:space="preserve">1 </w:t>
            </w:r>
            <w:r>
              <w:t>0</w:t>
            </w:r>
            <w:r w:rsidRPr="00A404C4">
              <w:t>00 kg/tonn pappír.</w:t>
            </w:r>
          </w:p>
          <w:p w:rsidR="008F280A" w:rsidRPr="0065599B" w:rsidRDefault="00FD2D45" w:rsidP="00E00E08">
            <w:pPr>
              <w:spacing w:after="200"/>
            </w:pPr>
            <w:hyperlink r:id="rId21" w:tooltip="Förslag till verifikat" w:history="1">
              <w:r w:rsidR="004D238F" w:rsidRPr="00A404C4">
                <w:rPr>
                  <w:b/>
                </w:rPr>
                <w:t>Staðfesting</w:t>
              </w:r>
            </w:hyperlink>
            <w:r w:rsidR="004D238F">
              <w:rPr>
                <w:b/>
              </w:rPr>
              <w:t xml:space="preserve">: </w:t>
            </w:r>
            <w:r w:rsidR="004D238F">
              <w:t>Vottun Evrópublómsins</w:t>
            </w:r>
            <w:r w:rsidR="00E00E08">
              <w:t xml:space="preserve">, </w:t>
            </w:r>
            <w:r w:rsidR="004D238F">
              <w:t xml:space="preserve">Svansins </w:t>
            </w:r>
            <w:r w:rsidR="00E00E08">
              <w:t>eða t</w:t>
            </w:r>
            <w:r w:rsidR="004D238F">
              <w:t xml:space="preserve">æknilýsing sem staðfestir að viðmið hafi verið uppfyllt, sjá viðhengi (Gróðurhúsalofttegundir).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8F" w:rsidRPr="006C5B6B" w:rsidRDefault="004D238F" w:rsidP="00A7721E">
            <w:pPr>
              <w:pStyle w:val="ListParagraph"/>
              <w:numPr>
                <w:ilvl w:val="0"/>
                <w:numId w:val="36"/>
              </w:numPr>
              <w:spacing w:after="200"/>
              <w:rPr>
                <w:b/>
              </w:rPr>
            </w:pPr>
            <w:r>
              <w:rPr>
                <w:b/>
              </w:rPr>
              <w:t>Losun</w:t>
            </w:r>
            <w:r w:rsidR="008E5D68">
              <w:rPr>
                <w:b/>
              </w:rPr>
              <w:t xml:space="preserve"> gróðurhúsalofttegunda </w:t>
            </w:r>
          </w:p>
          <w:p w:rsidR="004D238F" w:rsidRPr="00A404C4" w:rsidRDefault="004D238F" w:rsidP="004D238F">
            <w:pPr>
              <w:shd w:val="clear" w:color="auto" w:fill="FFFFFF"/>
              <w:spacing w:line="255" w:lineRule="atLeast"/>
            </w:pPr>
            <w:r>
              <w:t>Losun koltvísýrings (CO</w:t>
            </w:r>
            <w:r w:rsidRPr="00306AAA">
              <w:rPr>
                <w:vertAlign w:val="subscript"/>
              </w:rPr>
              <w:t>2</w:t>
            </w:r>
            <w:r>
              <w:t xml:space="preserve">) vegna orkunotkunar við framleiðslu pappírsmauks og pappírs (rafmagnsnotkun talin með) skal ekki vera meiri en </w:t>
            </w:r>
            <w:r w:rsidRPr="00A404C4">
              <w:t>1 500 kg/tonn pappír.</w:t>
            </w:r>
          </w:p>
          <w:p w:rsidR="008F280A" w:rsidRPr="004D238F" w:rsidRDefault="00FD2D45" w:rsidP="00E441DE">
            <w:pPr>
              <w:spacing w:after="200"/>
            </w:pPr>
            <w:hyperlink r:id="rId22" w:tooltip="Förslag till verifikat" w:history="1">
              <w:r w:rsidR="004D238F" w:rsidRPr="00A404C4">
                <w:rPr>
                  <w:b/>
                </w:rPr>
                <w:t>Staðfesting</w:t>
              </w:r>
            </w:hyperlink>
            <w:r w:rsidR="004D238F">
              <w:rPr>
                <w:b/>
              </w:rPr>
              <w:t xml:space="preserve">: </w:t>
            </w:r>
            <w:r w:rsidR="00E00E08">
              <w:t>Vottun Evrópublómsins, Svansins eða tæknilýsing sem staðfestir að viðmið hafi verið uppfyllt, sjá viðhengi (Gróðurhúsalofttegundir).</w:t>
            </w:r>
          </w:p>
        </w:tc>
      </w:tr>
      <w:tr w:rsidR="008F280A" w:rsidTr="00E00E08">
        <w:trPr>
          <w:trHeight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280A" w:rsidRDefault="008F280A" w:rsidP="00E441D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280A" w:rsidRDefault="008F280A" w:rsidP="00E441D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</w:tr>
      <w:tr w:rsidR="008F280A" w:rsidTr="00E00E08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EC2" w:rsidRPr="006C5B6B" w:rsidRDefault="00740EC2" w:rsidP="00A7721E">
            <w:pPr>
              <w:pStyle w:val="ListParagraph"/>
              <w:numPr>
                <w:ilvl w:val="0"/>
                <w:numId w:val="37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Verklag sem tryggir </w:t>
            </w:r>
            <w:r w:rsidRPr="006C5B6B">
              <w:rPr>
                <w:b/>
              </w:rPr>
              <w:t>uppruna nýrra trefja</w:t>
            </w:r>
          </w:p>
          <w:p w:rsidR="002404B1" w:rsidRDefault="002404B1" w:rsidP="002404B1">
            <w:pPr>
              <w:tabs>
                <w:tab w:val="left" w:pos="1426"/>
              </w:tabs>
            </w:pPr>
            <w:r>
              <w:t>Bjóðandi skal hafa innleitt verklag sem tryggir að viður eða hráefni úr við í pappírnum sé frá lögmætum og samþykktum uppruna, samkvæmt viðmiði:„</w:t>
            </w:r>
            <w:r w:rsidRPr="007006E7">
              <w:t xml:space="preserve">Uppruni viðarins (nýjar trefjar)“ og </w:t>
            </w:r>
            <w:r>
              <w:t xml:space="preserve">í </w:t>
            </w:r>
            <w:r w:rsidRPr="007006E7">
              <w:t>sér</w:t>
            </w:r>
            <w:r>
              <w:t>sökum samningsviðmiðum „</w:t>
            </w:r>
            <w:r w:rsidRPr="002404B1">
              <w:t>Ráðstafanir til að koma í veg fyrir umdeildan uppruna (nýjar trefjar)“. Slíkt verklag</w:t>
            </w:r>
            <w:r>
              <w:t xml:space="preserve"> má finna í ISO 9001/14001 eða öðrum stjórnunarkerfum.</w:t>
            </w:r>
          </w:p>
          <w:p w:rsidR="008F280A" w:rsidRDefault="00740EC2" w:rsidP="00740EC2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Bjóðendur skulu leggja fram undirskrifaða yfirlýsingu með stuttri lýsingu á verklagi og aðferðum notaðar til að staðfesta uppruna hráefnis.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EC2" w:rsidRPr="006C5B6B" w:rsidRDefault="00740EC2" w:rsidP="00A7721E">
            <w:pPr>
              <w:pStyle w:val="ListParagraph"/>
              <w:numPr>
                <w:ilvl w:val="0"/>
                <w:numId w:val="38"/>
              </w:numPr>
              <w:spacing w:after="200"/>
              <w:rPr>
                <w:b/>
              </w:rPr>
            </w:pPr>
            <w:r>
              <w:rPr>
                <w:b/>
              </w:rPr>
              <w:t xml:space="preserve">Verklag sem tryggir </w:t>
            </w:r>
            <w:r w:rsidRPr="006C5B6B">
              <w:rPr>
                <w:b/>
              </w:rPr>
              <w:t>uppruna nýrra trefja</w:t>
            </w:r>
          </w:p>
          <w:p w:rsidR="002404B1" w:rsidRDefault="002404B1" w:rsidP="002404B1">
            <w:pPr>
              <w:tabs>
                <w:tab w:val="left" w:pos="1426"/>
              </w:tabs>
            </w:pPr>
            <w:r>
              <w:t>Bjóðandi skal hafa innleitt verklag sem tryggir að viður eða hráefni úr við í pappírnum sé frá lögmætum og samþykktum uppruna, samkvæmt viðmiði:„</w:t>
            </w:r>
            <w:r w:rsidRPr="007006E7">
              <w:t xml:space="preserve">Uppruni viðarins (nýjar trefjar)“ og </w:t>
            </w:r>
            <w:r>
              <w:t xml:space="preserve">í </w:t>
            </w:r>
            <w:r w:rsidRPr="007006E7">
              <w:t>sér</w:t>
            </w:r>
            <w:r>
              <w:t>sökum samningsviðmiðum „</w:t>
            </w:r>
            <w:r w:rsidRPr="002404B1">
              <w:t>Ráðstafanir til að koma í veg fyrir umdeildan uppruna (nýjar trefjar)“. Slíkt verklag</w:t>
            </w:r>
            <w:r>
              <w:t xml:space="preserve"> má finna í ISO 9001/14001 eða öðrum stjórnunarkerfum.</w:t>
            </w:r>
          </w:p>
          <w:p w:rsidR="008F280A" w:rsidRDefault="00740EC2" w:rsidP="00740EC2">
            <w:pPr>
              <w:tabs>
                <w:tab w:val="left" w:pos="1426"/>
              </w:tabs>
            </w:pPr>
            <w:r w:rsidRPr="00627124">
              <w:rPr>
                <w:b/>
              </w:rPr>
              <w:t>Staðfesting</w:t>
            </w:r>
            <w:r>
              <w:t>: Bjóðendur skulu leggja fram undirskrifaða yfirlýsingu með stuttri lýsingu á verklagi og aðferðum notaðar til að staðfesta uppruna hráefnis.</w:t>
            </w:r>
          </w:p>
        </w:tc>
      </w:tr>
      <w:tr w:rsidR="008F280A" w:rsidTr="00E00E08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280A" w:rsidRPr="00784F1C" w:rsidRDefault="008F280A" w:rsidP="00E441DE">
            <w:pPr>
              <w:spacing w:line="276" w:lineRule="auto"/>
              <w:rPr>
                <w:b/>
              </w:rPr>
            </w:pPr>
            <w:r w:rsidRPr="00A3708C">
              <w:rPr>
                <w:b/>
              </w:rPr>
              <w:t>SÉRSTÖK SAMNINGSVIÐMIÐ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280A" w:rsidRPr="00784F1C" w:rsidRDefault="008F280A" w:rsidP="00E441DE">
            <w:pPr>
              <w:spacing w:line="276" w:lineRule="auto"/>
              <w:rPr>
                <w:b/>
              </w:rPr>
            </w:pPr>
            <w:r w:rsidRPr="00A3708C">
              <w:rPr>
                <w:b/>
              </w:rPr>
              <w:t>SÉRSTÖK SAMNINGSVIÐMIÐ</w:t>
            </w:r>
          </w:p>
        </w:tc>
      </w:tr>
      <w:tr w:rsidR="008F280A" w:rsidTr="00E00E08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C5" w:rsidRPr="008E5D68" w:rsidRDefault="00DF65C5" w:rsidP="00A7721E">
            <w:pPr>
              <w:pStyle w:val="ListParagraph"/>
              <w:numPr>
                <w:ilvl w:val="0"/>
                <w:numId w:val="39"/>
              </w:numPr>
              <w:spacing w:after="200"/>
              <w:rPr>
                <w:b/>
              </w:rPr>
            </w:pPr>
            <w:r w:rsidRPr="008E5D68">
              <w:rPr>
                <w:b/>
              </w:rPr>
              <w:lastRenderedPageBreak/>
              <w:t>Ráðstafanir til að koma í veg fyrir umdeildan uppruna (nýjar trefjar)</w:t>
            </w:r>
          </w:p>
          <w:p w:rsidR="00DF65C5" w:rsidRDefault="00DF65C5" w:rsidP="00DF65C5">
            <w:r>
              <w:t>Birgjar skulu nota áreiðanleg kerfi til að v</w:t>
            </w:r>
            <w:r w:rsidR="00E00E08">
              <w:t xml:space="preserve">akta og rekja uppruna hráefnis </w:t>
            </w:r>
            <w:r>
              <w:t>til að fyrirbyggja að pappírinn tengist: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5"/>
              </w:numPr>
            </w:pPr>
            <w:r>
              <w:t>B</w:t>
            </w:r>
            <w:r w:rsidR="00DF65C5">
              <w:t>rotum á mannréttindum (</w:t>
            </w:r>
            <w:proofErr w:type="spellStart"/>
            <w:r w:rsidR="00DF65C5">
              <w:t>International</w:t>
            </w:r>
            <w:proofErr w:type="spellEnd"/>
            <w:r w:rsidR="00DF65C5">
              <w:t xml:space="preserve"> </w:t>
            </w:r>
            <w:proofErr w:type="spellStart"/>
            <w:r w:rsidR="00DF65C5">
              <w:t>Labour</w:t>
            </w:r>
            <w:proofErr w:type="spellEnd"/>
            <w:r w:rsidR="00DF65C5">
              <w:t xml:space="preserve"> </w:t>
            </w:r>
            <w:proofErr w:type="spellStart"/>
            <w:r w:rsidR="00DF65C5">
              <w:t>Organization</w:t>
            </w:r>
            <w:proofErr w:type="spellEnd"/>
            <w:r w:rsidR="00DF65C5">
              <w:t xml:space="preserve"> – ILO lykilsamþykktir 29, 87, 98, 100,</w:t>
            </w:r>
            <w:r w:rsidR="006C072C">
              <w:t xml:space="preserve"> </w:t>
            </w:r>
            <w:r w:rsidR="00DF65C5">
              <w:t>105, 111, 138 og 182) eða brot á almennum réttindum (réttindi sem hafa verið við lýði í lengri tíma).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5"/>
              </w:numPr>
            </w:pPr>
            <w:r>
              <w:t>Ó</w:t>
            </w:r>
            <w:r w:rsidR="00DF65C5">
              <w:t xml:space="preserve">gnun svæða með hátt verndargildi (e. </w:t>
            </w:r>
            <w:proofErr w:type="spellStart"/>
            <w:r w:rsidR="00DF65C5">
              <w:t>High</w:t>
            </w:r>
            <w:proofErr w:type="spellEnd"/>
            <w:r w:rsidR="00DF65C5">
              <w:t xml:space="preserve"> </w:t>
            </w:r>
            <w:proofErr w:type="spellStart"/>
            <w:r w:rsidR="00DF65C5">
              <w:t>Conservation</w:t>
            </w:r>
            <w:proofErr w:type="spellEnd"/>
            <w:r w:rsidR="00DF65C5">
              <w:t xml:space="preserve"> </w:t>
            </w:r>
            <w:proofErr w:type="spellStart"/>
            <w:r w:rsidR="00DF65C5">
              <w:t>Values</w:t>
            </w:r>
            <w:proofErr w:type="spellEnd"/>
            <w:r w:rsidR="00DF65C5">
              <w:t xml:space="preserve">) samkvæmt HCV </w:t>
            </w:r>
            <w:proofErr w:type="spellStart"/>
            <w:r w:rsidR="00DF65C5">
              <w:t>Network</w:t>
            </w:r>
            <w:proofErr w:type="spellEnd"/>
            <w:r w:rsidR="00DF65C5">
              <w:t xml:space="preserve"> </w:t>
            </w:r>
            <w:proofErr w:type="spellStart"/>
            <w:r w:rsidR="00DF65C5">
              <w:t>Charter</w:t>
            </w:r>
            <w:proofErr w:type="spellEnd"/>
            <w:r w:rsidR="00DF65C5">
              <w:t xml:space="preserve"> eða sambærilegu.</w:t>
            </w:r>
          </w:p>
          <w:p w:rsidR="00DF65C5" w:rsidRDefault="00DF65C5" w:rsidP="00E00E08">
            <w:pPr>
              <w:pStyle w:val="ListParagraph"/>
              <w:numPr>
                <w:ilvl w:val="0"/>
                <w:numId w:val="45"/>
              </w:numPr>
            </w:pPr>
            <w:r>
              <w:t>Breyttri landnotkun á náttúrulegum vistkerfum (t.d. ef regnskógi hefur verið breytt í ræktarland. Undantekning eru breytingar vegna mannvirkja sem hafa áhrif á smærri svæði, líkt og vegna lagningu vega eða vindbúa).</w:t>
            </w:r>
          </w:p>
          <w:p w:rsidR="008F280A" w:rsidRPr="00DF65C5" w:rsidRDefault="00DF65C5" w:rsidP="00DF65C5">
            <w:pPr>
              <w:spacing w:after="200"/>
              <w:rPr>
                <w:b/>
              </w:rPr>
            </w:pPr>
            <w:r w:rsidRPr="00DF65C5">
              <w:rPr>
                <w:b/>
              </w:rPr>
              <w:t>Staðfesting</w:t>
            </w:r>
            <w:r>
              <w:t>: Vörur með FSC eða PEFC vottun auk vottun FSC um sjálfbæra stjórnun skóga (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Certification</w:t>
            </w:r>
            <w:proofErr w:type="spellEnd"/>
            <w:r>
              <w:t>) eða sambærileg vottun.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5C5" w:rsidRPr="008E5D68" w:rsidRDefault="00DF65C5" w:rsidP="00A7721E">
            <w:pPr>
              <w:pStyle w:val="ListParagraph"/>
              <w:numPr>
                <w:ilvl w:val="0"/>
                <w:numId w:val="40"/>
              </w:numPr>
              <w:spacing w:after="200"/>
              <w:rPr>
                <w:b/>
              </w:rPr>
            </w:pPr>
            <w:r w:rsidRPr="008E5D68">
              <w:rPr>
                <w:b/>
              </w:rPr>
              <w:t>Ráðstafanir til að koma í veg fyrir umdeildan uppruna (nýjar trefjar)</w:t>
            </w:r>
          </w:p>
          <w:p w:rsidR="00DF65C5" w:rsidRDefault="00DF65C5" w:rsidP="00DF65C5">
            <w:r>
              <w:t>Birgjar skulu nota áreiðanleg kerfi til að vakta og rekja uppruna hráefnis til að fyrirbyggja að pappírinn tengist: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6"/>
              </w:numPr>
            </w:pPr>
            <w:r>
              <w:t>B</w:t>
            </w:r>
            <w:r w:rsidR="00DF65C5">
              <w:t>rotum á mannréttindum (</w:t>
            </w:r>
            <w:proofErr w:type="spellStart"/>
            <w:r w:rsidR="00DF65C5">
              <w:t>International</w:t>
            </w:r>
            <w:proofErr w:type="spellEnd"/>
            <w:r w:rsidR="00DF65C5">
              <w:t xml:space="preserve"> </w:t>
            </w:r>
            <w:proofErr w:type="spellStart"/>
            <w:r w:rsidR="00DF65C5">
              <w:t>Labour</w:t>
            </w:r>
            <w:proofErr w:type="spellEnd"/>
            <w:r w:rsidR="00DF65C5">
              <w:t xml:space="preserve"> </w:t>
            </w:r>
            <w:proofErr w:type="spellStart"/>
            <w:r w:rsidR="00DF65C5">
              <w:t>Organization</w:t>
            </w:r>
            <w:proofErr w:type="spellEnd"/>
            <w:r w:rsidR="00DF65C5">
              <w:t xml:space="preserve"> – ILO lykilsamþykktir 29, 87, 98, 100,</w:t>
            </w:r>
            <w:r w:rsidR="006C072C">
              <w:t xml:space="preserve"> </w:t>
            </w:r>
            <w:r w:rsidR="00DF65C5">
              <w:t>105, 111, 138 og 182) eða brot á almennum réttindum (réttindi sem hafa verið við lýði í lengri tíma).</w:t>
            </w:r>
          </w:p>
          <w:p w:rsidR="00DF65C5" w:rsidRDefault="00E00E08" w:rsidP="00E00E08">
            <w:pPr>
              <w:pStyle w:val="ListParagraph"/>
              <w:numPr>
                <w:ilvl w:val="0"/>
                <w:numId w:val="46"/>
              </w:numPr>
            </w:pPr>
            <w:r>
              <w:t>Ó</w:t>
            </w:r>
            <w:r w:rsidR="00DF65C5">
              <w:t xml:space="preserve">gnun svæða með hátt verndargildi (e. </w:t>
            </w:r>
            <w:proofErr w:type="spellStart"/>
            <w:r w:rsidR="00DF65C5">
              <w:t>High</w:t>
            </w:r>
            <w:proofErr w:type="spellEnd"/>
            <w:r w:rsidR="00DF65C5">
              <w:t xml:space="preserve"> </w:t>
            </w:r>
            <w:proofErr w:type="spellStart"/>
            <w:r w:rsidR="00DF65C5">
              <w:t>Conservation</w:t>
            </w:r>
            <w:proofErr w:type="spellEnd"/>
            <w:r w:rsidR="00DF65C5">
              <w:t xml:space="preserve"> </w:t>
            </w:r>
            <w:proofErr w:type="spellStart"/>
            <w:r w:rsidR="00DF65C5">
              <w:t>Values</w:t>
            </w:r>
            <w:proofErr w:type="spellEnd"/>
            <w:r w:rsidR="00DF65C5">
              <w:t xml:space="preserve">) samkvæmt HCV </w:t>
            </w:r>
            <w:proofErr w:type="spellStart"/>
            <w:r w:rsidR="00DF65C5">
              <w:t>Network</w:t>
            </w:r>
            <w:proofErr w:type="spellEnd"/>
            <w:r w:rsidR="00DF65C5">
              <w:t xml:space="preserve"> </w:t>
            </w:r>
            <w:proofErr w:type="spellStart"/>
            <w:r w:rsidR="00DF65C5">
              <w:t>Charter</w:t>
            </w:r>
            <w:proofErr w:type="spellEnd"/>
            <w:r w:rsidR="00DF65C5">
              <w:t xml:space="preserve"> eða sambærilegu.</w:t>
            </w:r>
          </w:p>
          <w:p w:rsidR="00DF65C5" w:rsidRDefault="00DF65C5" w:rsidP="00E00E08">
            <w:pPr>
              <w:pStyle w:val="ListParagraph"/>
              <w:numPr>
                <w:ilvl w:val="0"/>
                <w:numId w:val="46"/>
              </w:numPr>
            </w:pPr>
            <w:r>
              <w:t>Breyttri landnotkun á náttúrulegum vistkerfum (t.d. ef regnskógi hefur verið breytt í ræktarland. Undantekning eru breytingar vegna mannvirkja sem hafa áhrif á smærri svæði, líkt og vegna lagningu vega eða vindbúa).</w:t>
            </w:r>
          </w:p>
          <w:p w:rsidR="008F280A" w:rsidRPr="00DF65C5" w:rsidRDefault="00DF65C5" w:rsidP="00DF65C5">
            <w:pPr>
              <w:spacing w:after="200"/>
              <w:rPr>
                <w:b/>
              </w:rPr>
            </w:pPr>
            <w:r w:rsidRPr="00DF65C5">
              <w:rPr>
                <w:b/>
              </w:rPr>
              <w:t>Staðfesting</w:t>
            </w:r>
            <w:r>
              <w:t>: Vörur með FSC eða PEFC vottun auk vottun FSC um sjálfbæra stjórnun skóga (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Wood</w:t>
            </w:r>
            <w:proofErr w:type="spellEnd"/>
            <w:r>
              <w:t xml:space="preserve"> </w:t>
            </w:r>
            <w:proofErr w:type="spellStart"/>
            <w:r>
              <w:t>Certification</w:t>
            </w:r>
            <w:proofErr w:type="spellEnd"/>
            <w:r>
              <w:t>) eða sambærileg vottun.</w:t>
            </w:r>
          </w:p>
        </w:tc>
      </w:tr>
    </w:tbl>
    <w:p w:rsidR="006F3C4E" w:rsidRDefault="00ED137A" w:rsidP="0000529F">
      <w:pPr>
        <w:pStyle w:val="Heading1"/>
        <w:numPr>
          <w:ilvl w:val="0"/>
          <w:numId w:val="0"/>
        </w:numPr>
      </w:pPr>
      <w:r>
        <w:br w:type="page"/>
      </w:r>
      <w:r w:rsidR="008E5D68">
        <w:lastRenderedPageBreak/>
        <w:t>V</w:t>
      </w:r>
      <w:r w:rsidR="006F3C4E">
        <w:t>iðauki</w:t>
      </w:r>
      <w:r w:rsidR="001D18A3">
        <w:t xml:space="preserve"> 1</w:t>
      </w:r>
      <w:r w:rsidR="00067291">
        <w:t>:</w:t>
      </w:r>
      <w:r w:rsidR="00067291" w:rsidRPr="00067291">
        <w:t xml:space="preserve"> Viðmiðunargildi, losun meng</w:t>
      </w:r>
      <w:r w:rsidR="007020EA">
        <w:t>andi efna í vatn og andrúmsloft</w:t>
      </w:r>
      <w:r w:rsidR="00F03A62">
        <w:t>.</w:t>
      </w:r>
    </w:p>
    <w:p w:rsidR="0010252F" w:rsidRDefault="007020EA" w:rsidP="007020EA">
      <w:r w:rsidRPr="007006E7">
        <w:t xml:space="preserve">Bjóðandi sem staðfestir kröfurnar með </w:t>
      </w:r>
      <w:r w:rsidR="009C0637" w:rsidRPr="007006E7">
        <w:t>upplýsingum</w:t>
      </w:r>
      <w:r w:rsidRPr="007006E7">
        <w:t xml:space="preserve"> </w:t>
      </w:r>
      <w:r w:rsidR="009C0637" w:rsidRPr="007006E7">
        <w:t xml:space="preserve">frá </w:t>
      </w:r>
      <w:r w:rsidRPr="007006E7">
        <w:t xml:space="preserve">birgja skal skilmerkilega </w:t>
      </w:r>
      <w:r w:rsidR="009C0637" w:rsidRPr="007006E7">
        <w:t>sýna</w:t>
      </w:r>
      <w:r w:rsidRPr="007006E7">
        <w:t xml:space="preserve"> útreikning</w:t>
      </w:r>
      <w:r w:rsidR="009C0637" w:rsidRPr="007006E7">
        <w:t>a</w:t>
      </w:r>
      <w:r w:rsidRPr="007006E7">
        <w:t xml:space="preserve"> </w:t>
      </w:r>
      <w:r w:rsidR="00EB405C" w:rsidRPr="007006E7">
        <w:t>ásamt upplýsingum</w:t>
      </w:r>
      <w:r w:rsidR="00EB405C">
        <w:t xml:space="preserve"> um að birginn hafi mælt og lýst vörunni samkvæmt </w:t>
      </w:r>
      <w:hyperlink r:id="rId23" w:history="1">
        <w:r w:rsidR="00EB405C" w:rsidRPr="007006E7">
          <w:rPr>
            <w:rStyle w:val="Hyperlink"/>
          </w:rPr>
          <w:t>viðmiðum Evrópublómsins</w:t>
        </w:r>
        <w:r w:rsidR="005D49DB" w:rsidRPr="007006E7">
          <w:rPr>
            <w:rStyle w:val="Hyperlink"/>
          </w:rPr>
          <w:t xml:space="preserve"> um prent- og ljósritunarpappír</w:t>
        </w:r>
      </w:hyperlink>
      <w:r w:rsidR="009C0637">
        <w:t xml:space="preserve">, þar sem </w:t>
      </w:r>
      <w:r w:rsidR="00F03A62">
        <w:t xml:space="preserve">losunin </w:t>
      </w:r>
      <w:r w:rsidR="009C0637">
        <w:t xml:space="preserve">er reiknuð </w:t>
      </w:r>
      <w:r w:rsidR="00F03A62">
        <w:t>sem samanlögð lo</w:t>
      </w:r>
      <w:r w:rsidR="00771ED1">
        <w:t>sun frá framleiðslu pappírsmauks</w:t>
      </w:r>
      <w:r w:rsidR="00F03A62">
        <w:t xml:space="preserve"> og pappírs.</w:t>
      </w:r>
    </w:p>
    <w:p w:rsidR="0010252F" w:rsidRPr="007020EA" w:rsidRDefault="0010252F" w:rsidP="007020EA">
      <w:r>
        <w:t>PRENT- OG LJÓSRITUNARPAPPÍR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843"/>
        <w:gridCol w:w="1417"/>
      </w:tblGrid>
      <w:tr w:rsidR="00EB405C" w:rsidTr="007020EA">
        <w:tc>
          <w:tcPr>
            <w:tcW w:w="3227" w:type="dxa"/>
            <w:vMerge w:val="restart"/>
          </w:tcPr>
          <w:p w:rsidR="00EB405C" w:rsidRPr="0010252F" w:rsidRDefault="00EB405C">
            <w:pPr>
              <w:spacing w:after="200"/>
              <w:rPr>
                <w:b/>
              </w:rPr>
            </w:pPr>
            <w:r w:rsidRPr="0010252F">
              <w:rPr>
                <w:b/>
              </w:rPr>
              <w:t>Tegund pappírsmauks/ pappírs</w:t>
            </w:r>
          </w:p>
        </w:tc>
        <w:tc>
          <w:tcPr>
            <w:tcW w:w="6095" w:type="dxa"/>
            <w:gridSpan w:val="4"/>
          </w:tcPr>
          <w:p w:rsidR="00EB405C" w:rsidRPr="0010252F" w:rsidRDefault="00EB405C">
            <w:pPr>
              <w:spacing w:after="200"/>
              <w:rPr>
                <w:b/>
              </w:rPr>
            </w:pPr>
            <w:r w:rsidRPr="0010252F">
              <w:rPr>
                <w:b/>
              </w:rPr>
              <w:t>Viðmiðunargildi fyrir losun (kg/tonn 90% massi</w:t>
            </w:r>
            <w:r w:rsidR="00C93196">
              <w:rPr>
                <w:b/>
              </w:rPr>
              <w:t>)</w:t>
            </w:r>
          </w:p>
        </w:tc>
      </w:tr>
      <w:tr w:rsidR="00EB405C" w:rsidTr="007020EA">
        <w:tc>
          <w:tcPr>
            <w:tcW w:w="3227" w:type="dxa"/>
            <w:vMerge/>
          </w:tcPr>
          <w:p w:rsidR="00EB405C" w:rsidRPr="0010252F" w:rsidRDefault="00EB405C">
            <w:pPr>
              <w:spacing w:after="200"/>
              <w:rPr>
                <w:b/>
              </w:rPr>
            </w:pPr>
          </w:p>
        </w:tc>
        <w:tc>
          <w:tcPr>
            <w:tcW w:w="1417" w:type="dxa"/>
          </w:tcPr>
          <w:p w:rsidR="00EB405C" w:rsidRPr="0010252F" w:rsidRDefault="00385D2D" w:rsidP="00385D2D">
            <w:pPr>
              <w:spacing w:after="200"/>
              <w:rPr>
                <w:b/>
              </w:rPr>
            </w:pPr>
            <w:proofErr w:type="spellStart"/>
            <w:r w:rsidRPr="0010252F">
              <w:rPr>
                <w:b/>
              </w:rPr>
              <w:t>COD</w:t>
            </w:r>
            <w:r w:rsidR="009C0637" w:rsidRPr="009C0637">
              <w:rPr>
                <w:b/>
                <w:vertAlign w:val="subscript"/>
              </w:rPr>
              <w:t>ref</w:t>
            </w:r>
            <w:proofErr w:type="spellEnd"/>
          </w:p>
        </w:tc>
        <w:tc>
          <w:tcPr>
            <w:tcW w:w="1418" w:type="dxa"/>
          </w:tcPr>
          <w:p w:rsidR="00EB405C" w:rsidRPr="0010252F" w:rsidRDefault="00385D2D">
            <w:pPr>
              <w:spacing w:after="200"/>
              <w:rPr>
                <w:b/>
              </w:rPr>
            </w:pPr>
            <w:proofErr w:type="spellStart"/>
            <w:r w:rsidRPr="0010252F">
              <w:rPr>
                <w:b/>
              </w:rPr>
              <w:t>S</w:t>
            </w:r>
            <w:r w:rsidR="009C0637" w:rsidRPr="009C0637">
              <w:rPr>
                <w:b/>
                <w:vertAlign w:val="subscript"/>
              </w:rPr>
              <w:t>ref</w:t>
            </w:r>
            <w:proofErr w:type="spellEnd"/>
          </w:p>
        </w:tc>
        <w:tc>
          <w:tcPr>
            <w:tcW w:w="1843" w:type="dxa"/>
          </w:tcPr>
          <w:p w:rsidR="00EB405C" w:rsidRPr="0010252F" w:rsidRDefault="00385D2D">
            <w:pPr>
              <w:spacing w:after="200"/>
              <w:rPr>
                <w:b/>
              </w:rPr>
            </w:pPr>
            <w:proofErr w:type="spellStart"/>
            <w:r w:rsidRPr="0010252F">
              <w:rPr>
                <w:b/>
              </w:rPr>
              <w:t>NO</w:t>
            </w:r>
            <w:r w:rsidRPr="0010252F">
              <w:rPr>
                <w:b/>
                <w:vertAlign w:val="subscript"/>
              </w:rPr>
              <w:t>x</w:t>
            </w:r>
            <w:r w:rsidR="009C0637" w:rsidRPr="009C0637">
              <w:rPr>
                <w:b/>
                <w:vertAlign w:val="subscript"/>
              </w:rPr>
              <w:t>ref</w:t>
            </w:r>
            <w:proofErr w:type="spellEnd"/>
          </w:p>
        </w:tc>
        <w:tc>
          <w:tcPr>
            <w:tcW w:w="1417" w:type="dxa"/>
          </w:tcPr>
          <w:p w:rsidR="00EB405C" w:rsidRPr="0010252F" w:rsidRDefault="00385D2D">
            <w:pPr>
              <w:spacing w:after="200"/>
              <w:rPr>
                <w:b/>
              </w:rPr>
            </w:pPr>
            <w:proofErr w:type="spellStart"/>
            <w:r w:rsidRPr="0010252F">
              <w:rPr>
                <w:b/>
              </w:rPr>
              <w:t>P</w:t>
            </w:r>
            <w:r w:rsidR="009C0637" w:rsidRPr="009C0637">
              <w:rPr>
                <w:b/>
                <w:vertAlign w:val="subscript"/>
              </w:rPr>
              <w:t>ref</w:t>
            </w:r>
            <w:proofErr w:type="spellEnd"/>
          </w:p>
        </w:tc>
      </w:tr>
      <w:tr w:rsidR="007020EA" w:rsidTr="007020EA">
        <w:tc>
          <w:tcPr>
            <w:tcW w:w="3227" w:type="dxa"/>
          </w:tcPr>
          <w:p w:rsidR="007020EA" w:rsidRDefault="00385D2D" w:rsidP="009C0637">
            <w:pPr>
              <w:spacing w:after="200"/>
            </w:pPr>
            <w:r>
              <w:t xml:space="preserve">Efnamauk (ekki </w:t>
            </w:r>
            <w:proofErr w:type="spellStart"/>
            <w:r w:rsidR="003538B0">
              <w:t>súlfitmauk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385D2D" w:rsidRDefault="00385D2D">
            <w:pPr>
              <w:spacing w:after="200"/>
            </w:pPr>
            <w:r>
              <w:t>18,0</w:t>
            </w:r>
          </w:p>
        </w:tc>
        <w:tc>
          <w:tcPr>
            <w:tcW w:w="1418" w:type="dxa"/>
          </w:tcPr>
          <w:p w:rsidR="007020EA" w:rsidRDefault="00385D2D">
            <w:pPr>
              <w:spacing w:after="200"/>
            </w:pPr>
            <w:r>
              <w:t>0,6</w:t>
            </w:r>
          </w:p>
        </w:tc>
        <w:tc>
          <w:tcPr>
            <w:tcW w:w="1843" w:type="dxa"/>
          </w:tcPr>
          <w:p w:rsidR="007020EA" w:rsidRDefault="00385D2D">
            <w:pPr>
              <w:spacing w:after="200"/>
            </w:pPr>
            <w:r>
              <w:t>1,6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0,045</w:t>
            </w:r>
            <w:r w:rsidR="00F03A62">
              <w:rPr>
                <w:rStyle w:val="FootnoteReference"/>
              </w:rPr>
              <w:footnoteReference w:id="1"/>
            </w:r>
          </w:p>
        </w:tc>
      </w:tr>
      <w:tr w:rsidR="007020EA" w:rsidTr="007020EA">
        <w:tc>
          <w:tcPr>
            <w:tcW w:w="3227" w:type="dxa"/>
          </w:tcPr>
          <w:p w:rsidR="007020EA" w:rsidRDefault="00385D2D" w:rsidP="009C0637">
            <w:pPr>
              <w:spacing w:after="200"/>
            </w:pPr>
            <w:r>
              <w:t>Efnamauk (</w:t>
            </w:r>
            <w:proofErr w:type="spellStart"/>
            <w:r w:rsidR="003538B0">
              <w:t>súlfitmauk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25,0</w:t>
            </w:r>
          </w:p>
        </w:tc>
        <w:tc>
          <w:tcPr>
            <w:tcW w:w="1418" w:type="dxa"/>
          </w:tcPr>
          <w:p w:rsidR="007020EA" w:rsidRDefault="00385D2D">
            <w:pPr>
              <w:spacing w:after="200"/>
            </w:pPr>
            <w:r>
              <w:t>0,6</w:t>
            </w:r>
          </w:p>
        </w:tc>
        <w:tc>
          <w:tcPr>
            <w:tcW w:w="1843" w:type="dxa"/>
          </w:tcPr>
          <w:p w:rsidR="007020EA" w:rsidRDefault="00385D2D">
            <w:pPr>
              <w:spacing w:after="200"/>
            </w:pPr>
            <w:r>
              <w:t>1,6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0,045</w:t>
            </w:r>
          </w:p>
        </w:tc>
      </w:tr>
      <w:tr w:rsidR="007020EA" w:rsidTr="007020EA">
        <w:tc>
          <w:tcPr>
            <w:tcW w:w="3227" w:type="dxa"/>
          </w:tcPr>
          <w:p w:rsidR="007020EA" w:rsidRDefault="00385D2D">
            <w:pPr>
              <w:spacing w:after="200"/>
            </w:pPr>
            <w:r>
              <w:t>Óbleikt efnamauk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10,0</w:t>
            </w:r>
          </w:p>
        </w:tc>
        <w:tc>
          <w:tcPr>
            <w:tcW w:w="1418" w:type="dxa"/>
          </w:tcPr>
          <w:p w:rsidR="007020EA" w:rsidRDefault="00385D2D">
            <w:pPr>
              <w:spacing w:after="200"/>
            </w:pPr>
            <w:r>
              <w:t>0,6</w:t>
            </w:r>
          </w:p>
        </w:tc>
        <w:tc>
          <w:tcPr>
            <w:tcW w:w="1843" w:type="dxa"/>
          </w:tcPr>
          <w:p w:rsidR="007020EA" w:rsidRDefault="00385D2D">
            <w:pPr>
              <w:spacing w:after="200"/>
            </w:pPr>
            <w:r>
              <w:t>1,6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0,04</w:t>
            </w:r>
          </w:p>
        </w:tc>
      </w:tr>
      <w:tr w:rsidR="007020EA" w:rsidTr="007020EA">
        <w:tc>
          <w:tcPr>
            <w:tcW w:w="3227" w:type="dxa"/>
          </w:tcPr>
          <w:p w:rsidR="007020EA" w:rsidRDefault="003538B0" w:rsidP="007235F1">
            <w:pPr>
              <w:spacing w:after="200"/>
            </w:pPr>
            <w:r>
              <w:t>Efnafræðilega unn</w:t>
            </w:r>
            <w:r w:rsidR="001D18A3">
              <w:t>ið</w:t>
            </w:r>
            <w:r>
              <w:t>, vélunn</w:t>
            </w:r>
            <w:r w:rsidR="007235F1">
              <w:t>ið</w:t>
            </w:r>
            <w:r>
              <w:t xml:space="preserve"> og hitameðhöndlað pappírsmauk (CTMP- mauk)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15,0</w:t>
            </w:r>
          </w:p>
        </w:tc>
        <w:tc>
          <w:tcPr>
            <w:tcW w:w="1418" w:type="dxa"/>
          </w:tcPr>
          <w:p w:rsidR="007020EA" w:rsidRDefault="00385D2D">
            <w:pPr>
              <w:spacing w:after="200"/>
            </w:pPr>
            <w:r>
              <w:t>0,2</w:t>
            </w:r>
          </w:p>
        </w:tc>
        <w:tc>
          <w:tcPr>
            <w:tcW w:w="1843" w:type="dxa"/>
          </w:tcPr>
          <w:p w:rsidR="007020EA" w:rsidRDefault="00385D2D">
            <w:pPr>
              <w:spacing w:after="200"/>
            </w:pPr>
            <w:r>
              <w:t>0,3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0,01</w:t>
            </w:r>
          </w:p>
        </w:tc>
      </w:tr>
      <w:tr w:rsidR="007020EA" w:rsidTr="007020EA">
        <w:tc>
          <w:tcPr>
            <w:tcW w:w="3227" w:type="dxa"/>
          </w:tcPr>
          <w:p w:rsidR="007020EA" w:rsidRDefault="009C0637">
            <w:pPr>
              <w:spacing w:after="200"/>
            </w:pPr>
            <w:r>
              <w:t>Vél</w:t>
            </w:r>
            <w:r w:rsidR="003538B0">
              <w:t>unnið og hitameðhöndlað pappírsmauk (TMP-mauk)</w:t>
            </w:r>
          </w:p>
        </w:tc>
        <w:tc>
          <w:tcPr>
            <w:tcW w:w="1417" w:type="dxa"/>
          </w:tcPr>
          <w:p w:rsidR="007020EA" w:rsidRDefault="003538B0">
            <w:pPr>
              <w:spacing w:after="200"/>
            </w:pPr>
            <w:r>
              <w:t>3,0</w:t>
            </w:r>
          </w:p>
        </w:tc>
        <w:tc>
          <w:tcPr>
            <w:tcW w:w="1418" w:type="dxa"/>
          </w:tcPr>
          <w:p w:rsidR="007020EA" w:rsidRDefault="003538B0">
            <w:pPr>
              <w:spacing w:after="200"/>
            </w:pPr>
            <w:r>
              <w:t>0,2</w:t>
            </w:r>
          </w:p>
        </w:tc>
        <w:tc>
          <w:tcPr>
            <w:tcW w:w="1843" w:type="dxa"/>
          </w:tcPr>
          <w:p w:rsidR="007020EA" w:rsidRDefault="003538B0">
            <w:pPr>
              <w:spacing w:after="200"/>
            </w:pPr>
            <w:r>
              <w:t>0,3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0,01</w:t>
            </w:r>
          </w:p>
        </w:tc>
      </w:tr>
      <w:tr w:rsidR="007020EA" w:rsidTr="007020EA">
        <w:tc>
          <w:tcPr>
            <w:tcW w:w="3227" w:type="dxa"/>
          </w:tcPr>
          <w:p w:rsidR="007020EA" w:rsidRDefault="0010252F">
            <w:pPr>
              <w:spacing w:after="200"/>
            </w:pPr>
            <w:r>
              <w:t>Pappírsmauk úr endurunnum trefjum</w:t>
            </w:r>
          </w:p>
        </w:tc>
        <w:tc>
          <w:tcPr>
            <w:tcW w:w="1417" w:type="dxa"/>
          </w:tcPr>
          <w:p w:rsidR="007020EA" w:rsidRDefault="003538B0">
            <w:pPr>
              <w:spacing w:after="200"/>
            </w:pPr>
            <w:r>
              <w:t>2,0</w:t>
            </w:r>
          </w:p>
        </w:tc>
        <w:tc>
          <w:tcPr>
            <w:tcW w:w="1418" w:type="dxa"/>
          </w:tcPr>
          <w:p w:rsidR="007020EA" w:rsidRDefault="003538B0">
            <w:pPr>
              <w:spacing w:after="200"/>
            </w:pPr>
            <w:r>
              <w:t>0,2</w:t>
            </w:r>
          </w:p>
        </w:tc>
        <w:tc>
          <w:tcPr>
            <w:tcW w:w="1843" w:type="dxa"/>
          </w:tcPr>
          <w:p w:rsidR="007020EA" w:rsidRDefault="003538B0">
            <w:pPr>
              <w:spacing w:after="200"/>
            </w:pPr>
            <w:r>
              <w:t>0,3</w:t>
            </w:r>
          </w:p>
        </w:tc>
        <w:tc>
          <w:tcPr>
            <w:tcW w:w="1417" w:type="dxa"/>
          </w:tcPr>
          <w:p w:rsidR="007020EA" w:rsidRDefault="00385D2D">
            <w:pPr>
              <w:spacing w:after="200"/>
            </w:pPr>
            <w:r>
              <w:t>0,01</w:t>
            </w:r>
          </w:p>
        </w:tc>
      </w:tr>
      <w:tr w:rsidR="00385D2D" w:rsidTr="007020EA">
        <w:tc>
          <w:tcPr>
            <w:tcW w:w="3227" w:type="dxa"/>
          </w:tcPr>
          <w:p w:rsidR="00385D2D" w:rsidRDefault="0010252F">
            <w:pPr>
              <w:spacing w:after="200"/>
            </w:pPr>
            <w:r>
              <w:t xml:space="preserve">Pappír </w:t>
            </w:r>
            <w:r w:rsidR="009C0637" w:rsidRPr="009C0637">
              <w:t>(ó</w:t>
            </w:r>
            <w:r w:rsidRPr="009C0637">
              <w:t>samþætt notkun)</w:t>
            </w:r>
          </w:p>
        </w:tc>
        <w:tc>
          <w:tcPr>
            <w:tcW w:w="1417" w:type="dxa"/>
          </w:tcPr>
          <w:p w:rsidR="00385D2D" w:rsidRDefault="003538B0">
            <w:pPr>
              <w:spacing w:after="200"/>
            </w:pPr>
            <w:r>
              <w:t>1</w:t>
            </w:r>
          </w:p>
        </w:tc>
        <w:tc>
          <w:tcPr>
            <w:tcW w:w="1418" w:type="dxa"/>
          </w:tcPr>
          <w:p w:rsidR="00385D2D" w:rsidRDefault="003538B0">
            <w:pPr>
              <w:spacing w:after="200"/>
            </w:pPr>
            <w:r>
              <w:t>0,3</w:t>
            </w:r>
          </w:p>
        </w:tc>
        <w:tc>
          <w:tcPr>
            <w:tcW w:w="1843" w:type="dxa"/>
          </w:tcPr>
          <w:p w:rsidR="00385D2D" w:rsidRDefault="003538B0">
            <w:pPr>
              <w:spacing w:after="200"/>
            </w:pPr>
            <w:r>
              <w:t>0,8</w:t>
            </w:r>
          </w:p>
        </w:tc>
        <w:tc>
          <w:tcPr>
            <w:tcW w:w="1417" w:type="dxa"/>
          </w:tcPr>
          <w:p w:rsidR="00385D2D" w:rsidRDefault="00385D2D">
            <w:pPr>
              <w:spacing w:after="200"/>
            </w:pPr>
          </w:p>
        </w:tc>
      </w:tr>
      <w:tr w:rsidR="00385D2D" w:rsidTr="007020EA">
        <w:tc>
          <w:tcPr>
            <w:tcW w:w="3227" w:type="dxa"/>
          </w:tcPr>
          <w:p w:rsidR="00385D2D" w:rsidRDefault="00385D2D">
            <w:pPr>
              <w:spacing w:after="200"/>
            </w:pPr>
            <w:r>
              <w:t>Pappír</w:t>
            </w:r>
            <w:r w:rsidR="009C0637">
              <w:t xml:space="preserve"> (önnur notkun)</w:t>
            </w:r>
          </w:p>
        </w:tc>
        <w:tc>
          <w:tcPr>
            <w:tcW w:w="1417" w:type="dxa"/>
          </w:tcPr>
          <w:p w:rsidR="00385D2D" w:rsidRDefault="00385D2D">
            <w:pPr>
              <w:spacing w:after="200"/>
            </w:pPr>
            <w:r>
              <w:t>1</w:t>
            </w:r>
          </w:p>
        </w:tc>
        <w:tc>
          <w:tcPr>
            <w:tcW w:w="1418" w:type="dxa"/>
          </w:tcPr>
          <w:p w:rsidR="00385D2D" w:rsidRDefault="00385D2D">
            <w:pPr>
              <w:spacing w:after="200"/>
            </w:pPr>
            <w:r>
              <w:t>0,3</w:t>
            </w:r>
          </w:p>
        </w:tc>
        <w:tc>
          <w:tcPr>
            <w:tcW w:w="1843" w:type="dxa"/>
          </w:tcPr>
          <w:p w:rsidR="00385D2D" w:rsidRDefault="00385D2D">
            <w:pPr>
              <w:spacing w:after="200"/>
            </w:pPr>
            <w:r>
              <w:t>0,7</w:t>
            </w:r>
          </w:p>
        </w:tc>
        <w:tc>
          <w:tcPr>
            <w:tcW w:w="1417" w:type="dxa"/>
          </w:tcPr>
          <w:p w:rsidR="00385D2D" w:rsidRDefault="00385D2D">
            <w:pPr>
              <w:spacing w:after="200"/>
            </w:pPr>
            <w:r>
              <w:t>0,01</w:t>
            </w:r>
          </w:p>
        </w:tc>
      </w:tr>
    </w:tbl>
    <w:p w:rsidR="00ED137A" w:rsidRDefault="00ED137A">
      <w:pPr>
        <w:spacing w:after="200"/>
      </w:pPr>
    </w:p>
    <w:p w:rsidR="00F03A62" w:rsidRDefault="00F03A62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F03A62" w:rsidRDefault="008E5D68" w:rsidP="007235F1">
      <w:pPr>
        <w:pStyle w:val="Heading1"/>
        <w:numPr>
          <w:ilvl w:val="0"/>
          <w:numId w:val="0"/>
        </w:numPr>
      </w:pPr>
      <w:r>
        <w:lastRenderedPageBreak/>
        <w:t>V</w:t>
      </w:r>
      <w:r w:rsidR="00F03A62">
        <w:t>iðauki</w:t>
      </w:r>
      <w:r>
        <w:t xml:space="preserve"> 2</w:t>
      </w:r>
      <w:r w:rsidR="00F03A62">
        <w:t xml:space="preserve">: </w:t>
      </w:r>
      <w:r w:rsidR="003C3313">
        <w:t xml:space="preserve">Gróðurhúsalofttegundir – </w:t>
      </w:r>
      <w:r w:rsidR="005D49DB">
        <w:t>Losunarstuðlar fyrir útreikninga á losun koltvísýrings (CO</w:t>
      </w:r>
      <w:r w:rsidR="005D49DB" w:rsidRPr="005D49DB">
        <w:rPr>
          <w:vertAlign w:val="subscript"/>
        </w:rPr>
        <w:t>2</w:t>
      </w:r>
      <w:r w:rsidR="005D49DB">
        <w:t xml:space="preserve">) frá </w:t>
      </w:r>
      <w:r w:rsidR="005D49DB" w:rsidRPr="00D86DF9">
        <w:t>eldsneyti.</w:t>
      </w:r>
    </w:p>
    <w:p w:rsidR="00FF7425" w:rsidRDefault="007006E7" w:rsidP="00FF7425">
      <w:r w:rsidRPr="007006E7">
        <w:t>Bjóðandi sem staðfestir kröfurnar með upplýsingum frá birgja skal skilmerkilega sýna útreikninga ásamt upplýsingum</w:t>
      </w:r>
      <w:r>
        <w:t xml:space="preserve"> um að birginn hafi mælt og lýst vörunni samkvæmt </w:t>
      </w:r>
      <w:r w:rsidR="005D49DB">
        <w:t xml:space="preserve">viðmiðum Evrópublómsins um </w:t>
      </w:r>
      <w:hyperlink r:id="rId24" w:history="1">
        <w:r w:rsidR="005D49DB" w:rsidRPr="007006E7">
          <w:rPr>
            <w:rStyle w:val="Hyperlink"/>
          </w:rPr>
          <w:t>hreinlætispappír</w:t>
        </w:r>
      </w:hyperlink>
      <w:r w:rsidR="005D49DB">
        <w:t xml:space="preserve"> eða um </w:t>
      </w:r>
      <w:hyperlink r:id="rId25" w:history="1">
        <w:r w:rsidR="005D49DB" w:rsidRPr="007006E7">
          <w:rPr>
            <w:rStyle w:val="Hyperlink"/>
          </w:rPr>
          <w:t>prent- og ljósritunarpappír</w:t>
        </w:r>
      </w:hyperlink>
      <w:r>
        <w:t>, þar sem</w:t>
      </w:r>
      <w:r w:rsidR="005D49DB">
        <w:t xml:space="preserve"> losunin </w:t>
      </w:r>
      <w:r>
        <w:t xml:space="preserve">er reiknuð </w:t>
      </w:r>
      <w:r w:rsidR="005D49DB">
        <w:t>sem samanlögð losun frá framleiðslu papp</w:t>
      </w:r>
      <w:r w:rsidR="00941D5D">
        <w:t>írsmauk</w:t>
      </w:r>
      <w:r w:rsidR="005D49DB">
        <w:t>s og pappírs. Bjóðandi skal gera grein fyrir losun koltvísýrings (CO</w:t>
      </w:r>
      <w:r w:rsidR="005D49DB" w:rsidRPr="003C3313">
        <w:rPr>
          <w:vertAlign w:val="subscript"/>
        </w:rPr>
        <w:t>2</w:t>
      </w:r>
      <w:r w:rsidR="005D49DB">
        <w:t>) í andrúmsloftið frá öllum óendurnýjanlegum orkugjöfum</w:t>
      </w:r>
      <w:r w:rsidR="00941D5D">
        <w:t xml:space="preserve"> sem nýttir eru við framleiðslu pappírsmauks og pappírs. Einnig skal gerð grein fyrir losun vegna framleiðslu raforku (óháð því hvort raforkan sé framleidd á sama stað og pappírsmaukið og pappírinn).</w:t>
      </w:r>
    </w:p>
    <w:p w:rsidR="00941D5D" w:rsidRPr="00FF7425" w:rsidRDefault="00941D5D" w:rsidP="00FF7425">
      <w:r>
        <w:t>Eftirfarandi losunarstuðlar skulu notaðir við útreikninga á losun CO</w:t>
      </w:r>
      <w:r w:rsidRPr="00941D5D">
        <w:rPr>
          <w:vertAlign w:val="subscript"/>
        </w:rPr>
        <w:t>2</w:t>
      </w:r>
      <w:r>
        <w:t xml:space="preserve"> frá eldsneyti.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3A62" w:rsidTr="00F03A62">
        <w:tc>
          <w:tcPr>
            <w:tcW w:w="3070" w:type="dxa"/>
          </w:tcPr>
          <w:p w:rsidR="00F03A62" w:rsidRPr="0087179B" w:rsidRDefault="0087179B">
            <w:pPr>
              <w:spacing w:after="200"/>
              <w:rPr>
                <w:b/>
              </w:rPr>
            </w:pPr>
            <w:r w:rsidRPr="0087179B">
              <w:rPr>
                <w:b/>
              </w:rPr>
              <w:t>Eldsneyti</w:t>
            </w:r>
          </w:p>
        </w:tc>
        <w:tc>
          <w:tcPr>
            <w:tcW w:w="3071" w:type="dxa"/>
          </w:tcPr>
          <w:p w:rsidR="00F03A62" w:rsidRPr="0087179B" w:rsidRDefault="0087179B">
            <w:pPr>
              <w:spacing w:after="200"/>
              <w:rPr>
                <w:b/>
              </w:rPr>
            </w:pPr>
            <w:r w:rsidRPr="0087179B">
              <w:rPr>
                <w:b/>
              </w:rPr>
              <w:t>Losun koltvísýrings frá jarðefnaeldsneyti</w:t>
            </w:r>
          </w:p>
        </w:tc>
        <w:tc>
          <w:tcPr>
            <w:tcW w:w="3071" w:type="dxa"/>
          </w:tcPr>
          <w:p w:rsidR="00F03A62" w:rsidRPr="0087179B" w:rsidRDefault="0087179B">
            <w:pPr>
              <w:spacing w:after="200"/>
              <w:rPr>
                <w:b/>
              </w:rPr>
            </w:pPr>
            <w:r w:rsidRPr="0087179B">
              <w:rPr>
                <w:b/>
              </w:rPr>
              <w:t>Eining</w:t>
            </w:r>
          </w:p>
        </w:tc>
      </w:tr>
      <w:tr w:rsidR="00F03A62" w:rsidTr="00F03A62">
        <w:tc>
          <w:tcPr>
            <w:tcW w:w="3070" w:type="dxa"/>
          </w:tcPr>
          <w:p w:rsidR="00F03A62" w:rsidRPr="0087179B" w:rsidRDefault="0087179B">
            <w:pPr>
              <w:spacing w:after="200"/>
            </w:pPr>
            <w:r w:rsidRPr="0087179B">
              <w:t>Kol</w:t>
            </w:r>
          </w:p>
        </w:tc>
        <w:tc>
          <w:tcPr>
            <w:tcW w:w="3071" w:type="dxa"/>
          </w:tcPr>
          <w:p w:rsidR="00F03A62" w:rsidRDefault="0087179B">
            <w:pPr>
              <w:spacing w:after="200"/>
            </w:pPr>
            <w:r>
              <w:t>95</w:t>
            </w:r>
          </w:p>
        </w:tc>
        <w:tc>
          <w:tcPr>
            <w:tcW w:w="3071" w:type="dxa"/>
          </w:tcPr>
          <w:p w:rsidR="00F03A62" w:rsidRDefault="0087179B">
            <w:pPr>
              <w:spacing w:after="200"/>
            </w:pPr>
            <w:r>
              <w:t>g jarðefni CO</w:t>
            </w:r>
            <w:r w:rsidRPr="0087179B">
              <w:rPr>
                <w:vertAlign w:val="subscript"/>
              </w:rPr>
              <w:t>2</w:t>
            </w:r>
            <w:r>
              <w:t>/MJ</w:t>
            </w:r>
          </w:p>
        </w:tc>
      </w:tr>
      <w:tr w:rsidR="0087179B" w:rsidTr="00F03A62">
        <w:tc>
          <w:tcPr>
            <w:tcW w:w="3070" w:type="dxa"/>
          </w:tcPr>
          <w:p w:rsidR="0087179B" w:rsidRPr="0087179B" w:rsidRDefault="0087179B">
            <w:pPr>
              <w:spacing w:after="200"/>
            </w:pPr>
            <w:r w:rsidRPr="0087179B">
              <w:t>Hráolía</w:t>
            </w:r>
          </w:p>
        </w:tc>
        <w:tc>
          <w:tcPr>
            <w:tcW w:w="3071" w:type="dxa"/>
          </w:tcPr>
          <w:p w:rsidR="0087179B" w:rsidRDefault="0087179B">
            <w:pPr>
              <w:spacing w:after="200"/>
            </w:pPr>
            <w:r>
              <w:t>73</w:t>
            </w:r>
          </w:p>
        </w:tc>
        <w:tc>
          <w:tcPr>
            <w:tcW w:w="3071" w:type="dxa"/>
          </w:tcPr>
          <w:p w:rsidR="0087179B" w:rsidRDefault="0087179B" w:rsidP="00E441DE">
            <w:pPr>
              <w:spacing w:after="200"/>
            </w:pPr>
            <w:r>
              <w:t>g jarðefni CO</w:t>
            </w:r>
            <w:r w:rsidRPr="0087179B">
              <w:rPr>
                <w:vertAlign w:val="subscript"/>
              </w:rPr>
              <w:t>2</w:t>
            </w:r>
            <w:r>
              <w:t>/MJ</w:t>
            </w:r>
          </w:p>
        </w:tc>
      </w:tr>
      <w:tr w:rsidR="0087179B" w:rsidRPr="00A03626" w:rsidTr="00F03A62">
        <w:tc>
          <w:tcPr>
            <w:tcW w:w="3070" w:type="dxa"/>
          </w:tcPr>
          <w:p w:rsidR="0087179B" w:rsidRPr="00A03626" w:rsidRDefault="0087179B">
            <w:pPr>
              <w:spacing w:after="200"/>
            </w:pPr>
            <w:r w:rsidRPr="00A03626">
              <w:t>Eldsneytisolía</w:t>
            </w:r>
            <w:r w:rsidR="00FF7425" w:rsidRPr="00A03626">
              <w:t xml:space="preserve"> Flokkur 1</w:t>
            </w:r>
          </w:p>
        </w:tc>
        <w:tc>
          <w:tcPr>
            <w:tcW w:w="3071" w:type="dxa"/>
          </w:tcPr>
          <w:p w:rsidR="0087179B" w:rsidRPr="00A03626" w:rsidRDefault="0087179B">
            <w:pPr>
              <w:spacing w:after="200"/>
            </w:pPr>
            <w:r w:rsidRPr="00A03626">
              <w:t>74</w:t>
            </w:r>
          </w:p>
        </w:tc>
        <w:tc>
          <w:tcPr>
            <w:tcW w:w="3071" w:type="dxa"/>
          </w:tcPr>
          <w:p w:rsidR="0087179B" w:rsidRPr="00A03626" w:rsidRDefault="0087179B" w:rsidP="00E441DE">
            <w:pPr>
              <w:spacing w:after="200"/>
            </w:pPr>
            <w:r w:rsidRPr="00A03626">
              <w:t>g jarðefni CO</w:t>
            </w:r>
            <w:r w:rsidRPr="00A03626">
              <w:rPr>
                <w:vertAlign w:val="subscript"/>
              </w:rPr>
              <w:t>2</w:t>
            </w:r>
            <w:r w:rsidRPr="00A03626">
              <w:t>/MJ</w:t>
            </w:r>
          </w:p>
        </w:tc>
      </w:tr>
      <w:tr w:rsidR="0087179B" w:rsidRPr="00A03626" w:rsidTr="00F03A62">
        <w:tc>
          <w:tcPr>
            <w:tcW w:w="3070" w:type="dxa"/>
          </w:tcPr>
          <w:p w:rsidR="0087179B" w:rsidRPr="00A03626" w:rsidRDefault="00FF7425">
            <w:pPr>
              <w:spacing w:after="200"/>
            </w:pPr>
            <w:r w:rsidRPr="00A03626">
              <w:t>Eldsneytisolía Flokkur 2-5</w:t>
            </w:r>
          </w:p>
        </w:tc>
        <w:tc>
          <w:tcPr>
            <w:tcW w:w="3071" w:type="dxa"/>
          </w:tcPr>
          <w:p w:rsidR="0087179B" w:rsidRPr="00A03626" w:rsidRDefault="0087179B">
            <w:pPr>
              <w:spacing w:after="200"/>
            </w:pPr>
            <w:r w:rsidRPr="00A03626">
              <w:t>77</w:t>
            </w:r>
          </w:p>
        </w:tc>
        <w:tc>
          <w:tcPr>
            <w:tcW w:w="3071" w:type="dxa"/>
          </w:tcPr>
          <w:p w:rsidR="0087179B" w:rsidRPr="00A03626" w:rsidRDefault="0087179B" w:rsidP="00E441DE">
            <w:pPr>
              <w:spacing w:after="200"/>
            </w:pPr>
            <w:r w:rsidRPr="00A03626">
              <w:t>g jarðefni CO</w:t>
            </w:r>
            <w:r w:rsidRPr="00A03626">
              <w:rPr>
                <w:vertAlign w:val="subscript"/>
              </w:rPr>
              <w:t>2</w:t>
            </w:r>
            <w:r w:rsidRPr="00A03626">
              <w:t>/MJ</w:t>
            </w:r>
          </w:p>
        </w:tc>
      </w:tr>
      <w:tr w:rsidR="0087179B" w:rsidRPr="00A03626" w:rsidTr="00F03A62">
        <w:tc>
          <w:tcPr>
            <w:tcW w:w="3070" w:type="dxa"/>
          </w:tcPr>
          <w:p w:rsidR="0087179B" w:rsidRPr="00A03626" w:rsidRDefault="00FF7425" w:rsidP="00A03626">
            <w:pPr>
              <w:spacing w:after="200"/>
            </w:pPr>
            <w:r w:rsidRPr="00A03626">
              <w:t>Jarðgas</w:t>
            </w:r>
            <w:r w:rsidR="0087179B" w:rsidRPr="00A03626">
              <w:t xml:space="preserve"> (LPG/</w:t>
            </w:r>
            <w:proofErr w:type="spellStart"/>
            <w:r w:rsidR="0087179B" w:rsidRPr="00A03626">
              <w:t>Gasol</w:t>
            </w:r>
            <w:proofErr w:type="spellEnd"/>
            <w:r w:rsidR="0087179B" w:rsidRPr="00A03626">
              <w:t>)</w:t>
            </w:r>
          </w:p>
        </w:tc>
        <w:tc>
          <w:tcPr>
            <w:tcW w:w="3071" w:type="dxa"/>
          </w:tcPr>
          <w:p w:rsidR="0087179B" w:rsidRPr="00A03626" w:rsidRDefault="0087179B">
            <w:pPr>
              <w:spacing w:after="200"/>
            </w:pPr>
            <w:r w:rsidRPr="00A03626">
              <w:t>69</w:t>
            </w:r>
          </w:p>
        </w:tc>
        <w:tc>
          <w:tcPr>
            <w:tcW w:w="3071" w:type="dxa"/>
          </w:tcPr>
          <w:p w:rsidR="0087179B" w:rsidRPr="00A03626" w:rsidRDefault="0087179B" w:rsidP="00E441DE">
            <w:pPr>
              <w:spacing w:after="200"/>
            </w:pPr>
            <w:r w:rsidRPr="00A03626">
              <w:t>g jarðefni CO</w:t>
            </w:r>
            <w:r w:rsidRPr="00A03626">
              <w:rPr>
                <w:vertAlign w:val="subscript"/>
              </w:rPr>
              <w:t>2</w:t>
            </w:r>
            <w:r w:rsidRPr="00A03626">
              <w:t>/MJ</w:t>
            </w:r>
          </w:p>
        </w:tc>
      </w:tr>
      <w:tr w:rsidR="0087179B" w:rsidRPr="00A03626" w:rsidTr="00F03A62">
        <w:tc>
          <w:tcPr>
            <w:tcW w:w="3070" w:type="dxa"/>
          </w:tcPr>
          <w:p w:rsidR="0087179B" w:rsidRPr="00A03626" w:rsidRDefault="0087179B">
            <w:pPr>
              <w:spacing w:after="200"/>
            </w:pPr>
            <w:r w:rsidRPr="00A03626">
              <w:t>Náttúrugas</w:t>
            </w:r>
          </w:p>
        </w:tc>
        <w:tc>
          <w:tcPr>
            <w:tcW w:w="3071" w:type="dxa"/>
          </w:tcPr>
          <w:p w:rsidR="0087179B" w:rsidRPr="00A03626" w:rsidRDefault="0087179B">
            <w:pPr>
              <w:spacing w:after="200"/>
            </w:pPr>
            <w:r w:rsidRPr="00A03626">
              <w:t>56</w:t>
            </w:r>
          </w:p>
        </w:tc>
        <w:tc>
          <w:tcPr>
            <w:tcW w:w="3071" w:type="dxa"/>
          </w:tcPr>
          <w:p w:rsidR="0087179B" w:rsidRPr="00A03626" w:rsidRDefault="0087179B" w:rsidP="00E441DE">
            <w:pPr>
              <w:spacing w:after="200"/>
            </w:pPr>
            <w:r w:rsidRPr="00A03626">
              <w:t>g jarðefni CO</w:t>
            </w:r>
            <w:r w:rsidRPr="00A03626">
              <w:rPr>
                <w:vertAlign w:val="subscript"/>
              </w:rPr>
              <w:t>2</w:t>
            </w:r>
            <w:r w:rsidRPr="00A03626">
              <w:t>/MJ</w:t>
            </w:r>
          </w:p>
        </w:tc>
      </w:tr>
      <w:tr w:rsidR="0087179B" w:rsidTr="00F03A62">
        <w:tc>
          <w:tcPr>
            <w:tcW w:w="3070" w:type="dxa"/>
          </w:tcPr>
          <w:p w:rsidR="0087179B" w:rsidRPr="00A03626" w:rsidRDefault="00941D5D">
            <w:pPr>
              <w:spacing w:after="200"/>
            </w:pPr>
            <w:r w:rsidRPr="00A03626">
              <w:t>Raforka</w:t>
            </w:r>
            <w:r w:rsidR="0087179B" w:rsidRPr="00A03626">
              <w:t xml:space="preserve"> frá </w:t>
            </w:r>
            <w:r w:rsidRPr="00A03626">
              <w:t>raforku</w:t>
            </w:r>
            <w:r w:rsidR="00831135" w:rsidRPr="00A03626">
              <w:t>kerfi</w:t>
            </w:r>
          </w:p>
        </w:tc>
        <w:tc>
          <w:tcPr>
            <w:tcW w:w="3071" w:type="dxa"/>
          </w:tcPr>
          <w:p w:rsidR="0087179B" w:rsidRPr="00A03626" w:rsidRDefault="0087179B">
            <w:pPr>
              <w:spacing w:after="200"/>
            </w:pPr>
            <w:r w:rsidRPr="00A03626">
              <w:t>Sjá hér að neðan</w:t>
            </w:r>
          </w:p>
        </w:tc>
        <w:tc>
          <w:tcPr>
            <w:tcW w:w="3071" w:type="dxa"/>
          </w:tcPr>
          <w:p w:rsidR="0087179B" w:rsidRDefault="0087179B" w:rsidP="00E441DE">
            <w:pPr>
              <w:spacing w:after="200"/>
            </w:pPr>
            <w:r w:rsidRPr="00A03626">
              <w:t>g jarðefni CO</w:t>
            </w:r>
            <w:r w:rsidRPr="00A03626">
              <w:rPr>
                <w:vertAlign w:val="subscript"/>
              </w:rPr>
              <w:t>2</w:t>
            </w:r>
            <w:r w:rsidR="003C3313" w:rsidRPr="00A03626">
              <w:t>/</w:t>
            </w:r>
            <w:proofErr w:type="spellStart"/>
            <w:r w:rsidR="003C3313" w:rsidRPr="00A03626">
              <w:t>kWst</w:t>
            </w:r>
            <w:proofErr w:type="spellEnd"/>
          </w:p>
        </w:tc>
      </w:tr>
    </w:tbl>
    <w:p w:rsidR="00941D5D" w:rsidRDefault="00941D5D">
      <w:pPr>
        <w:spacing w:after="200"/>
      </w:pPr>
      <w:r>
        <w:t>Við útreikninga á losun vegna raforku frá raforkuneti skal notast við eftirfarandi forgangsröðun</w:t>
      </w:r>
      <w:r w:rsidR="00BD1502">
        <w:t>:</w:t>
      </w:r>
    </w:p>
    <w:p w:rsidR="005F78EE" w:rsidRDefault="005F78EE" w:rsidP="00784F1C">
      <w:pPr>
        <w:pStyle w:val="ListParagraph"/>
        <w:numPr>
          <w:ilvl w:val="0"/>
          <w:numId w:val="14"/>
        </w:numPr>
        <w:spacing w:after="200"/>
      </w:pPr>
      <w:r>
        <w:t>Í fyrsta lagi skal notast við sérstök gildi fyrir keypta raforku samkvæmt notendasamningi.</w:t>
      </w:r>
      <w:r w:rsidR="00831135">
        <w:rPr>
          <w:rStyle w:val="FootnoteReference"/>
        </w:rPr>
        <w:footnoteReference w:id="2"/>
      </w:r>
    </w:p>
    <w:p w:rsidR="005F78EE" w:rsidRDefault="005F78EE" w:rsidP="00784F1C">
      <w:pPr>
        <w:pStyle w:val="ListParagraph"/>
        <w:numPr>
          <w:ilvl w:val="0"/>
          <w:numId w:val="14"/>
        </w:numPr>
        <w:spacing w:after="200"/>
      </w:pPr>
      <w:r>
        <w:t xml:space="preserve">Í öðru lagi skal notast við </w:t>
      </w:r>
      <w:r w:rsidR="00020064">
        <w:t>landsmeðaltal raforkunotkunar</w:t>
      </w:r>
    </w:p>
    <w:p w:rsidR="00020064" w:rsidRDefault="00020064" w:rsidP="00784F1C">
      <w:pPr>
        <w:pStyle w:val="ListParagraph"/>
        <w:numPr>
          <w:ilvl w:val="0"/>
          <w:numId w:val="14"/>
        </w:numPr>
        <w:spacing w:after="200"/>
      </w:pPr>
      <w:r>
        <w:t>Í þriðja lagi skal notast við meðaltal fyrir raforkunotkun í Evrópu, 400 g CO2 /</w:t>
      </w:r>
      <w:proofErr w:type="spellStart"/>
      <w:r>
        <w:t>kWh</w:t>
      </w:r>
      <w:proofErr w:type="spellEnd"/>
    </w:p>
    <w:p w:rsidR="00BD1502" w:rsidRDefault="00020064">
      <w:pPr>
        <w:spacing w:after="200"/>
      </w:pPr>
      <w:r>
        <w:t>Útreikningarnir skulu byggja á framleiðslu á ársgrundvelli. Ef um nýja eða breytt framleiðslustöð skal byggja útreikningana á að lágmarki 45 samliggjandi dögum með stöðuga framleiðslu.</w:t>
      </w:r>
    </w:p>
    <w:p w:rsidR="00771ED1" w:rsidRDefault="008E5D68" w:rsidP="007235F1">
      <w:pPr>
        <w:pStyle w:val="Heading1"/>
        <w:numPr>
          <w:ilvl w:val="0"/>
          <w:numId w:val="0"/>
        </w:numPr>
        <w:ind w:left="432" w:hanging="432"/>
      </w:pPr>
      <w:r>
        <w:lastRenderedPageBreak/>
        <w:t>V</w:t>
      </w:r>
      <w:r w:rsidR="00771ED1">
        <w:t>iðauki</w:t>
      </w:r>
      <w:r>
        <w:t xml:space="preserve"> 3</w:t>
      </w:r>
      <w:r w:rsidR="00771ED1">
        <w:t xml:space="preserve">: </w:t>
      </w:r>
      <w:r w:rsidR="00771ED1" w:rsidRPr="007006E7">
        <w:t xml:space="preserve">HCV- </w:t>
      </w:r>
      <w:r w:rsidR="00771ED1">
        <w:t>Ráðstafanir til að tryggja uppruna nýrra trefja</w:t>
      </w:r>
    </w:p>
    <w:p w:rsidR="00067291" w:rsidRDefault="00771ED1">
      <w:pPr>
        <w:spacing w:after="200"/>
      </w:pPr>
      <w:r>
        <w:t xml:space="preserve">Svæði með hátt verndargildi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r w:rsidR="007006E7">
        <w:t>(</w:t>
      </w:r>
      <w:r>
        <w:t>HCV) er</w:t>
      </w:r>
      <w:r w:rsidR="00D138BF">
        <w:t>u</w:t>
      </w:r>
      <w:r>
        <w:t xml:space="preserve"> </w:t>
      </w:r>
      <w:r w:rsidRPr="007006E7">
        <w:t xml:space="preserve">samkvæmt HCV </w:t>
      </w:r>
      <w:proofErr w:type="spellStart"/>
      <w:r w:rsidRPr="007006E7">
        <w:t>Network</w:t>
      </w:r>
      <w:proofErr w:type="spellEnd"/>
      <w:r w:rsidRPr="007006E7">
        <w:t xml:space="preserve"> </w:t>
      </w:r>
      <w:proofErr w:type="spellStart"/>
      <w:r w:rsidRPr="007006E7">
        <w:t>Charter</w:t>
      </w:r>
      <w:proofErr w:type="spellEnd"/>
      <w:r w:rsidRPr="007006E7">
        <w:t>:</w:t>
      </w:r>
    </w:p>
    <w:p w:rsidR="001A6B31" w:rsidRDefault="00D138BF">
      <w:pPr>
        <w:spacing w:after="200"/>
      </w:pPr>
      <w:r>
        <w:t xml:space="preserve">HCV 1: Svæði </w:t>
      </w:r>
      <w:r w:rsidR="003E21B7">
        <w:t xml:space="preserve">rík af </w:t>
      </w:r>
      <w:r w:rsidR="001A6B31">
        <w:t>líffræðileg</w:t>
      </w:r>
      <w:r w:rsidR="003E21B7">
        <w:t>um</w:t>
      </w:r>
      <w:r w:rsidR="001A6B31">
        <w:t xml:space="preserve"> fjölbreytileika</w:t>
      </w:r>
      <w:r w:rsidR="00D34DE4">
        <w:t xml:space="preserve"> (t.d. einlendar tegundir</w:t>
      </w:r>
      <w:r w:rsidR="003E21B7">
        <w:t>,</w:t>
      </w:r>
      <w:r w:rsidR="001A6B31">
        <w:t xml:space="preserve"> </w:t>
      </w:r>
      <w:r w:rsidR="00D34DE4">
        <w:t>tegundir í útrýmingarhættu</w:t>
      </w:r>
      <w:r w:rsidR="003E21B7">
        <w:t xml:space="preserve"> eða verndarsvæði</w:t>
      </w:r>
      <w:r w:rsidR="00D34DE4">
        <w:t>)</w:t>
      </w:r>
      <w:r w:rsidR="001A6B31">
        <w:t xml:space="preserve"> á heims-, lands- og svæðisvísu.</w:t>
      </w:r>
    </w:p>
    <w:p w:rsidR="00D138BF" w:rsidRDefault="00D138BF">
      <w:pPr>
        <w:spacing w:after="200"/>
      </w:pPr>
      <w:r>
        <w:t>HCV 2:</w:t>
      </w:r>
      <w:r w:rsidR="00D34DE4">
        <w:t xml:space="preserve"> </w:t>
      </w:r>
      <w:r w:rsidR="003E21B7">
        <w:t>Stórir skógar á landsvísu þar sem stofnar</w:t>
      </w:r>
      <w:r w:rsidR="00D07452">
        <w:t xml:space="preserve"> flestra eða allra </w:t>
      </w:r>
      <w:r w:rsidR="007F5616">
        <w:t>upprunalegra tegunda finnast í náttúrulegri útbreiðslu og stærð.</w:t>
      </w:r>
    </w:p>
    <w:p w:rsidR="00D138BF" w:rsidRDefault="00D138BF">
      <w:pPr>
        <w:spacing w:after="200"/>
      </w:pPr>
      <w:r>
        <w:t>HCV 3:</w:t>
      </w:r>
      <w:r w:rsidR="00A03626">
        <w:t xml:space="preserve"> </w:t>
      </w:r>
      <w:r w:rsidR="003E21B7">
        <w:t>Svæði með sjaldgæfum vistkerfum eða vistkerfum í hættu eða útrýmingarhættu</w:t>
      </w:r>
    </w:p>
    <w:p w:rsidR="00D138BF" w:rsidRDefault="00D138BF">
      <w:pPr>
        <w:spacing w:after="200"/>
      </w:pPr>
      <w:r>
        <w:t>HCV 4:</w:t>
      </w:r>
      <w:r w:rsidR="00A03626">
        <w:t xml:space="preserve"> </w:t>
      </w:r>
      <w:r w:rsidR="007F5616">
        <w:t xml:space="preserve">Svæði sem </w:t>
      </w:r>
      <w:r w:rsidR="00CC3CFA">
        <w:t xml:space="preserve">sem gegna lykilhlutverki í </w:t>
      </w:r>
      <w:r w:rsidR="007F5616">
        <w:t>þjónust</w:t>
      </w:r>
      <w:r w:rsidR="00CC3CFA">
        <w:t>u</w:t>
      </w:r>
      <w:r w:rsidR="007F5616">
        <w:t xml:space="preserve"> vistkerfa</w:t>
      </w:r>
      <w:r w:rsidR="00CC3CFA">
        <w:t xml:space="preserve"> (t.d. tempra vatnsbúskap og uppblástur).</w:t>
      </w:r>
    </w:p>
    <w:p w:rsidR="00D138BF" w:rsidRDefault="00D138BF">
      <w:pPr>
        <w:spacing w:after="200"/>
      </w:pPr>
      <w:r>
        <w:t>HCV 5:</w:t>
      </w:r>
      <w:r w:rsidR="00A03626">
        <w:t xml:space="preserve"> </w:t>
      </w:r>
      <w:r w:rsidR="003E21B7">
        <w:t xml:space="preserve">Svæði sem hafa afgerandi þýðingu fyrir afkomu/grunnþarfir nærsamfélagsins (t.d. næringu eða heilsu) </w:t>
      </w:r>
    </w:p>
    <w:p w:rsidR="003E21B7" w:rsidRDefault="00D138BF">
      <w:pPr>
        <w:spacing w:after="200"/>
      </w:pPr>
      <w:r>
        <w:t>HCV 6:</w:t>
      </w:r>
      <w:r w:rsidR="00A03626">
        <w:t xml:space="preserve"> </w:t>
      </w:r>
      <w:r w:rsidR="00CC3CFA">
        <w:t>Svæði sem hafa afgerandi þýðingu fyrir nærsamfélagið með því að</w:t>
      </w:r>
      <w:r w:rsidR="003B3300">
        <w:t xml:space="preserve"> fóstra</w:t>
      </w:r>
      <w:r w:rsidR="00CC3CFA">
        <w:t xml:space="preserve"> staðbundnar </w:t>
      </w:r>
      <w:r w:rsidR="003B3300">
        <w:t xml:space="preserve">hefðbundnar </w:t>
      </w:r>
      <w:r w:rsidR="00CC3CFA">
        <w:t>tegundir (</w:t>
      </w:r>
      <w:r w:rsidR="003B3300">
        <w:t>sem hafa</w:t>
      </w:r>
      <w:r w:rsidR="00CC3CFA">
        <w:t xml:space="preserve"> menning</w:t>
      </w:r>
      <w:r w:rsidR="003B3300">
        <w:t>ar-</w:t>
      </w:r>
      <w:r w:rsidR="00CC3CFA">
        <w:t>, vistfræði</w:t>
      </w:r>
      <w:r w:rsidR="003B3300">
        <w:t>-</w:t>
      </w:r>
      <w:r w:rsidR="00CC3CFA">
        <w:t>, hagfræði</w:t>
      </w:r>
      <w:r w:rsidR="003B3300">
        <w:t>-</w:t>
      </w:r>
      <w:r w:rsidR="00CC3CFA">
        <w:t xml:space="preserve"> eða trúarlega</w:t>
      </w:r>
      <w:r w:rsidR="003B3300">
        <w:t xml:space="preserve"> þýðingu í viðkomandi samfélagi).</w:t>
      </w:r>
    </w:p>
    <w:sectPr w:rsidR="003E21B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C" w:rsidRDefault="008A1BFC" w:rsidP="00F51B15">
      <w:pPr>
        <w:spacing w:after="0" w:line="240" w:lineRule="auto"/>
      </w:pPr>
      <w:r>
        <w:separator/>
      </w:r>
    </w:p>
  </w:endnote>
  <w:endnote w:type="continuationSeparator" w:id="0">
    <w:p w:rsidR="008A1BFC" w:rsidRDefault="008A1BFC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E" w:rsidRDefault="00E44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E" w:rsidRPr="00F51B15" w:rsidRDefault="00E441DE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FD2D45">
      <w:rPr>
        <w:noProof/>
        <w:sz w:val="22"/>
      </w:rPr>
      <w:t>9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FD2D45">
      <w:rPr>
        <w:noProof/>
        <w:sz w:val="22"/>
      </w:rPr>
      <w:t>11</w:t>
    </w:r>
    <w:r w:rsidRPr="00F51B1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E" w:rsidRDefault="00E44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C" w:rsidRDefault="008A1BFC" w:rsidP="00F51B15">
      <w:pPr>
        <w:spacing w:after="0" w:line="240" w:lineRule="auto"/>
      </w:pPr>
      <w:r>
        <w:separator/>
      </w:r>
    </w:p>
  </w:footnote>
  <w:footnote w:type="continuationSeparator" w:id="0">
    <w:p w:rsidR="008A1BFC" w:rsidRDefault="008A1BFC" w:rsidP="00F51B15">
      <w:pPr>
        <w:spacing w:after="0" w:line="240" w:lineRule="auto"/>
      </w:pPr>
      <w:r>
        <w:continuationSeparator/>
      </w:r>
    </w:p>
  </w:footnote>
  <w:footnote w:id="1">
    <w:p w:rsidR="00E441DE" w:rsidRDefault="00E441DE">
      <w:pPr>
        <w:pStyle w:val="FootnoteText"/>
      </w:pPr>
      <w:r>
        <w:rPr>
          <w:rStyle w:val="FootnoteReference"/>
        </w:rPr>
        <w:footnoteRef/>
      </w:r>
      <w:r>
        <w:t xml:space="preserve"> Undanþága upp að 0,1 er veitt ef sýnt er fram á að ástæða hækkaðs </w:t>
      </w:r>
      <w:r w:rsidR="003C3313">
        <w:t xml:space="preserve">fosfórs (P) </w:t>
      </w:r>
      <w:r>
        <w:t xml:space="preserve">megi rekja til náttúrulegs innihalds </w:t>
      </w:r>
      <w:r w:rsidR="003C3313">
        <w:t>fosfórs</w:t>
      </w:r>
      <w:r>
        <w:t xml:space="preserve"> í pappírsmauki. </w:t>
      </w:r>
    </w:p>
  </w:footnote>
  <w:footnote w:id="2">
    <w:p w:rsidR="00E441DE" w:rsidRPr="007006E7" w:rsidRDefault="00E441DE">
      <w:pPr>
        <w:pStyle w:val="FootnoteText"/>
        <w:rPr>
          <w:rStyle w:val="Hyperlink"/>
          <w:color w:val="auto"/>
          <w:u w:val="none"/>
        </w:rPr>
      </w:pPr>
      <w:r w:rsidRPr="007006E7">
        <w:rPr>
          <w:rStyle w:val="FootnoteReference"/>
        </w:rPr>
        <w:footnoteRef/>
      </w:r>
      <w:r w:rsidRPr="007006E7">
        <w:t xml:space="preserve"> </w:t>
      </w:r>
      <w:r w:rsidR="007006E7" w:rsidRPr="007006E7">
        <w:t xml:space="preserve">2003/54/EG </w:t>
      </w:r>
    </w:p>
    <w:p w:rsidR="007006E7" w:rsidRDefault="007006E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E" w:rsidRDefault="00E44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E" w:rsidRDefault="00E441DE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200CA014" wp14:editId="1F65DC42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DE" w:rsidRPr="000A49FB" w:rsidRDefault="00E441DE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E" w:rsidRDefault="00E44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091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7F3B"/>
    <w:multiLevelType w:val="hybridMultilevel"/>
    <w:tmpl w:val="F49CCD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0E9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5E6"/>
    <w:multiLevelType w:val="hybridMultilevel"/>
    <w:tmpl w:val="F236BF9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92B60"/>
    <w:multiLevelType w:val="hybridMultilevel"/>
    <w:tmpl w:val="B8A407B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7393A"/>
    <w:multiLevelType w:val="hybridMultilevel"/>
    <w:tmpl w:val="B8A407B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A33C01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9E1768"/>
    <w:multiLevelType w:val="hybridMultilevel"/>
    <w:tmpl w:val="64B02836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90F51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16566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FB7F8E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0A0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C4E64"/>
    <w:multiLevelType w:val="hybridMultilevel"/>
    <w:tmpl w:val="1DDAB3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57EF1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C5388"/>
    <w:multiLevelType w:val="hybridMultilevel"/>
    <w:tmpl w:val="C01A3BDC"/>
    <w:lvl w:ilvl="0" w:tplc="2EDE64B4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C6A74"/>
    <w:multiLevelType w:val="multilevel"/>
    <w:tmpl w:val="06460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111330B"/>
    <w:multiLevelType w:val="hybridMultilevel"/>
    <w:tmpl w:val="B1941CFC"/>
    <w:lvl w:ilvl="0" w:tplc="3C96A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B50A6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C87AB4"/>
    <w:multiLevelType w:val="hybridMultilevel"/>
    <w:tmpl w:val="5F3E3E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50C26"/>
    <w:multiLevelType w:val="hybridMultilevel"/>
    <w:tmpl w:val="A37AF366"/>
    <w:lvl w:ilvl="0" w:tplc="36F83F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145DA"/>
    <w:multiLevelType w:val="hybridMultilevel"/>
    <w:tmpl w:val="883A95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50E18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665DF"/>
    <w:multiLevelType w:val="hybridMultilevel"/>
    <w:tmpl w:val="C01A3BDC"/>
    <w:lvl w:ilvl="0" w:tplc="2EDE64B4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82B0E"/>
    <w:multiLevelType w:val="hybridMultilevel"/>
    <w:tmpl w:val="C706D916"/>
    <w:lvl w:ilvl="0" w:tplc="3AE4A0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F079B"/>
    <w:multiLevelType w:val="hybridMultilevel"/>
    <w:tmpl w:val="F2AC3A0E"/>
    <w:lvl w:ilvl="0" w:tplc="97C046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507328"/>
    <w:multiLevelType w:val="hybridMultilevel"/>
    <w:tmpl w:val="45868F86"/>
    <w:lvl w:ilvl="0" w:tplc="CC4AF1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21300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12389"/>
    <w:multiLevelType w:val="hybridMultilevel"/>
    <w:tmpl w:val="9DC875A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B2ED1"/>
    <w:multiLevelType w:val="hybridMultilevel"/>
    <w:tmpl w:val="A8765102"/>
    <w:lvl w:ilvl="0" w:tplc="2F7C32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B2AB6"/>
    <w:multiLevelType w:val="hybridMultilevel"/>
    <w:tmpl w:val="F236BF9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3684B"/>
    <w:multiLevelType w:val="hybridMultilevel"/>
    <w:tmpl w:val="9DC875A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10964"/>
    <w:multiLevelType w:val="hybridMultilevel"/>
    <w:tmpl w:val="C8F2A3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E6052"/>
    <w:multiLevelType w:val="hybridMultilevel"/>
    <w:tmpl w:val="AE92CD4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D4826"/>
    <w:multiLevelType w:val="hybridMultilevel"/>
    <w:tmpl w:val="675A7D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42DC3"/>
    <w:multiLevelType w:val="hybridMultilevel"/>
    <w:tmpl w:val="038A07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F1DE1"/>
    <w:multiLevelType w:val="hybridMultilevel"/>
    <w:tmpl w:val="E4DA38D6"/>
    <w:lvl w:ilvl="0" w:tplc="FC0AB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42D0E"/>
    <w:multiLevelType w:val="hybridMultilevel"/>
    <w:tmpl w:val="5BC4E4B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E1A14"/>
    <w:multiLevelType w:val="hybridMultilevel"/>
    <w:tmpl w:val="C01A3BDC"/>
    <w:lvl w:ilvl="0" w:tplc="2EDE64B4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60C32"/>
    <w:multiLevelType w:val="hybridMultilevel"/>
    <w:tmpl w:val="2E3ADC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8225E"/>
    <w:multiLevelType w:val="hybridMultilevel"/>
    <w:tmpl w:val="B8A407B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47A71"/>
    <w:multiLevelType w:val="hybridMultilevel"/>
    <w:tmpl w:val="1D64E0DA"/>
    <w:lvl w:ilvl="0" w:tplc="E1168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F59AD"/>
    <w:multiLevelType w:val="hybridMultilevel"/>
    <w:tmpl w:val="3BD26032"/>
    <w:lvl w:ilvl="0" w:tplc="E800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A2EC6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1"/>
  </w:num>
  <w:num w:numId="4">
    <w:abstractNumId w:val="12"/>
  </w:num>
  <w:num w:numId="5">
    <w:abstractNumId w:val="33"/>
  </w:num>
  <w:num w:numId="6">
    <w:abstractNumId w:val="2"/>
  </w:num>
  <w:num w:numId="7">
    <w:abstractNumId w:val="7"/>
  </w:num>
  <w:num w:numId="8">
    <w:abstractNumId w:val="31"/>
  </w:num>
  <w:num w:numId="9">
    <w:abstractNumId w:val="37"/>
  </w:num>
  <w:num w:numId="10">
    <w:abstractNumId w:val="22"/>
  </w:num>
  <w:num w:numId="11">
    <w:abstractNumId w:val="28"/>
  </w:num>
  <w:num w:numId="12">
    <w:abstractNumId w:val="19"/>
  </w:num>
  <w:num w:numId="13">
    <w:abstractNumId w:val="16"/>
  </w:num>
  <w:num w:numId="14">
    <w:abstractNumId w:val="3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30"/>
  </w:num>
  <w:num w:numId="19">
    <w:abstractNumId w:val="3"/>
  </w:num>
  <w:num w:numId="20">
    <w:abstractNumId w:val="5"/>
  </w:num>
  <w:num w:numId="21">
    <w:abstractNumId w:val="32"/>
  </w:num>
  <w:num w:numId="22">
    <w:abstractNumId w:val="8"/>
  </w:num>
  <w:num w:numId="23">
    <w:abstractNumId w:val="1"/>
  </w:num>
  <w:num w:numId="24">
    <w:abstractNumId w:val="13"/>
  </w:num>
  <w:num w:numId="25">
    <w:abstractNumId w:val="14"/>
  </w:num>
  <w:num w:numId="26">
    <w:abstractNumId w:val="27"/>
  </w:num>
  <w:num w:numId="27">
    <w:abstractNumId w:val="11"/>
  </w:num>
  <w:num w:numId="28">
    <w:abstractNumId w:val="43"/>
  </w:num>
  <w:num w:numId="29">
    <w:abstractNumId w:val="23"/>
  </w:num>
  <w:num w:numId="30">
    <w:abstractNumId w:val="41"/>
  </w:num>
  <w:num w:numId="31">
    <w:abstractNumId w:val="0"/>
  </w:num>
  <w:num w:numId="32">
    <w:abstractNumId w:val="40"/>
  </w:num>
  <w:num w:numId="33">
    <w:abstractNumId w:val="15"/>
  </w:num>
  <w:num w:numId="34">
    <w:abstractNumId w:val="38"/>
  </w:num>
  <w:num w:numId="35">
    <w:abstractNumId w:val="42"/>
  </w:num>
  <w:num w:numId="36">
    <w:abstractNumId w:val="20"/>
  </w:num>
  <w:num w:numId="37">
    <w:abstractNumId w:val="9"/>
  </w:num>
  <w:num w:numId="38">
    <w:abstractNumId w:val="18"/>
  </w:num>
  <w:num w:numId="39">
    <w:abstractNumId w:val="4"/>
  </w:num>
  <w:num w:numId="40">
    <w:abstractNumId w:val="6"/>
  </w:num>
  <w:num w:numId="41">
    <w:abstractNumId w:val="25"/>
  </w:num>
  <w:num w:numId="42">
    <w:abstractNumId w:val="29"/>
  </w:num>
  <w:num w:numId="43">
    <w:abstractNumId w:val="24"/>
  </w:num>
  <w:num w:numId="44">
    <w:abstractNumId w:val="17"/>
  </w:num>
  <w:num w:numId="45">
    <w:abstractNumId w:val="36"/>
  </w:num>
  <w:num w:numId="46">
    <w:abstractNumId w:val="26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ðmundur Hannesson">
    <w15:presenceInfo w15:providerId="AD" w15:userId="S-1-5-21-71174984-1882996816-965413785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066D"/>
    <w:rsid w:val="0000529F"/>
    <w:rsid w:val="00020064"/>
    <w:rsid w:val="0003641D"/>
    <w:rsid w:val="00061D35"/>
    <w:rsid w:val="00064228"/>
    <w:rsid w:val="00067291"/>
    <w:rsid w:val="00087091"/>
    <w:rsid w:val="000A49FB"/>
    <w:rsid w:val="000B0A22"/>
    <w:rsid w:val="000B5CCE"/>
    <w:rsid w:val="000C498C"/>
    <w:rsid w:val="000D7F70"/>
    <w:rsid w:val="000F4570"/>
    <w:rsid w:val="0010252F"/>
    <w:rsid w:val="001135B4"/>
    <w:rsid w:val="00120D3B"/>
    <w:rsid w:val="00123C03"/>
    <w:rsid w:val="00124674"/>
    <w:rsid w:val="0018137F"/>
    <w:rsid w:val="00182A8C"/>
    <w:rsid w:val="00191544"/>
    <w:rsid w:val="0019464A"/>
    <w:rsid w:val="001A6B31"/>
    <w:rsid w:val="001C27CF"/>
    <w:rsid w:val="001D18A3"/>
    <w:rsid w:val="0020480D"/>
    <w:rsid w:val="00230265"/>
    <w:rsid w:val="002404B1"/>
    <w:rsid w:val="002430B8"/>
    <w:rsid w:val="002544FC"/>
    <w:rsid w:val="00267188"/>
    <w:rsid w:val="0029069E"/>
    <w:rsid w:val="002A0F11"/>
    <w:rsid w:val="002D7FBD"/>
    <w:rsid w:val="002F4D31"/>
    <w:rsid w:val="002F57F8"/>
    <w:rsid w:val="0030066D"/>
    <w:rsid w:val="00306AAA"/>
    <w:rsid w:val="003373AF"/>
    <w:rsid w:val="00352465"/>
    <w:rsid w:val="003538B0"/>
    <w:rsid w:val="00385AA1"/>
    <w:rsid w:val="00385D2D"/>
    <w:rsid w:val="00390D33"/>
    <w:rsid w:val="00394F78"/>
    <w:rsid w:val="003B3300"/>
    <w:rsid w:val="003B5640"/>
    <w:rsid w:val="003C3313"/>
    <w:rsid w:val="003C4CF0"/>
    <w:rsid w:val="003E21B7"/>
    <w:rsid w:val="003E3197"/>
    <w:rsid w:val="00412520"/>
    <w:rsid w:val="004127CB"/>
    <w:rsid w:val="00423A88"/>
    <w:rsid w:val="00424FF4"/>
    <w:rsid w:val="00442BC4"/>
    <w:rsid w:val="00444FCC"/>
    <w:rsid w:val="00445153"/>
    <w:rsid w:val="00450A12"/>
    <w:rsid w:val="00490C88"/>
    <w:rsid w:val="004C13C3"/>
    <w:rsid w:val="004C70CA"/>
    <w:rsid w:val="004D238F"/>
    <w:rsid w:val="004F00B2"/>
    <w:rsid w:val="005454B1"/>
    <w:rsid w:val="0054697F"/>
    <w:rsid w:val="00557315"/>
    <w:rsid w:val="00557770"/>
    <w:rsid w:val="00576787"/>
    <w:rsid w:val="005D49DB"/>
    <w:rsid w:val="005F6BFB"/>
    <w:rsid w:val="005F78EE"/>
    <w:rsid w:val="00620441"/>
    <w:rsid w:val="00622885"/>
    <w:rsid w:val="00627124"/>
    <w:rsid w:val="0065599B"/>
    <w:rsid w:val="00660888"/>
    <w:rsid w:val="00680A59"/>
    <w:rsid w:val="0068219A"/>
    <w:rsid w:val="00692E9E"/>
    <w:rsid w:val="0069792E"/>
    <w:rsid w:val="006C072C"/>
    <w:rsid w:val="006C5B6B"/>
    <w:rsid w:val="006F3C4E"/>
    <w:rsid w:val="007006E7"/>
    <w:rsid w:val="007020EA"/>
    <w:rsid w:val="00712AA1"/>
    <w:rsid w:val="007235F1"/>
    <w:rsid w:val="007236F0"/>
    <w:rsid w:val="007278D6"/>
    <w:rsid w:val="0073003E"/>
    <w:rsid w:val="0073786F"/>
    <w:rsid w:val="00737FA3"/>
    <w:rsid w:val="00740EC2"/>
    <w:rsid w:val="007566D8"/>
    <w:rsid w:val="00771ED1"/>
    <w:rsid w:val="00784F1C"/>
    <w:rsid w:val="007D3928"/>
    <w:rsid w:val="007F5616"/>
    <w:rsid w:val="0082016F"/>
    <w:rsid w:val="00831135"/>
    <w:rsid w:val="0087179B"/>
    <w:rsid w:val="008870C3"/>
    <w:rsid w:val="00895AE4"/>
    <w:rsid w:val="008A1BFC"/>
    <w:rsid w:val="008A3FAB"/>
    <w:rsid w:val="008C5AA0"/>
    <w:rsid w:val="008E5D68"/>
    <w:rsid w:val="008F280A"/>
    <w:rsid w:val="00901155"/>
    <w:rsid w:val="00941D5D"/>
    <w:rsid w:val="00950CD4"/>
    <w:rsid w:val="00952D3B"/>
    <w:rsid w:val="009533AD"/>
    <w:rsid w:val="00957923"/>
    <w:rsid w:val="0096466A"/>
    <w:rsid w:val="0096791F"/>
    <w:rsid w:val="00980979"/>
    <w:rsid w:val="00994DE5"/>
    <w:rsid w:val="009A498D"/>
    <w:rsid w:val="009B61E3"/>
    <w:rsid w:val="009C0637"/>
    <w:rsid w:val="009C3BCF"/>
    <w:rsid w:val="009D01AD"/>
    <w:rsid w:val="009F1F7C"/>
    <w:rsid w:val="00A03626"/>
    <w:rsid w:val="00A404C4"/>
    <w:rsid w:val="00A7721E"/>
    <w:rsid w:val="00AA0EDE"/>
    <w:rsid w:val="00AC62B2"/>
    <w:rsid w:val="00AD29A1"/>
    <w:rsid w:val="00AF32B7"/>
    <w:rsid w:val="00B17204"/>
    <w:rsid w:val="00B6148D"/>
    <w:rsid w:val="00B65A36"/>
    <w:rsid w:val="00BA286C"/>
    <w:rsid w:val="00BA2B5C"/>
    <w:rsid w:val="00BB5CAA"/>
    <w:rsid w:val="00BC17AC"/>
    <w:rsid w:val="00BD1502"/>
    <w:rsid w:val="00BE0B7F"/>
    <w:rsid w:val="00C24E72"/>
    <w:rsid w:val="00C42992"/>
    <w:rsid w:val="00C56872"/>
    <w:rsid w:val="00C663FC"/>
    <w:rsid w:val="00C748CB"/>
    <w:rsid w:val="00C93196"/>
    <w:rsid w:val="00CA273A"/>
    <w:rsid w:val="00CC0336"/>
    <w:rsid w:val="00CC3CFA"/>
    <w:rsid w:val="00CE66FC"/>
    <w:rsid w:val="00D07452"/>
    <w:rsid w:val="00D138BF"/>
    <w:rsid w:val="00D34DE4"/>
    <w:rsid w:val="00D53CAC"/>
    <w:rsid w:val="00D72A48"/>
    <w:rsid w:val="00D8649B"/>
    <w:rsid w:val="00D86DF9"/>
    <w:rsid w:val="00DA346D"/>
    <w:rsid w:val="00DF65C5"/>
    <w:rsid w:val="00E00E08"/>
    <w:rsid w:val="00E302B4"/>
    <w:rsid w:val="00E441DE"/>
    <w:rsid w:val="00E7797B"/>
    <w:rsid w:val="00E86F0B"/>
    <w:rsid w:val="00EB405C"/>
    <w:rsid w:val="00EC0821"/>
    <w:rsid w:val="00EC60CD"/>
    <w:rsid w:val="00ED137A"/>
    <w:rsid w:val="00ED76C2"/>
    <w:rsid w:val="00EF7EE8"/>
    <w:rsid w:val="00F03A62"/>
    <w:rsid w:val="00F05274"/>
    <w:rsid w:val="00F312A8"/>
    <w:rsid w:val="00F341A6"/>
    <w:rsid w:val="00F404FF"/>
    <w:rsid w:val="00F43E05"/>
    <w:rsid w:val="00F51B15"/>
    <w:rsid w:val="00F60A28"/>
    <w:rsid w:val="00FD2D45"/>
    <w:rsid w:val="00FD62C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3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CC"/>
    <w:rPr>
      <w:rFonts w:ascii="Times New Roman" w:hAnsi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5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2E9E"/>
  </w:style>
  <w:style w:type="character" w:styleId="Strong">
    <w:name w:val="Strong"/>
    <w:basedOn w:val="DefaultParagraphFont"/>
    <w:uiPriority w:val="22"/>
    <w:qFormat/>
    <w:rsid w:val="00692E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F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700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3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CC"/>
    <w:rPr>
      <w:rFonts w:ascii="Times New Roman" w:hAnsi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5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2E9E"/>
  </w:style>
  <w:style w:type="character" w:styleId="Strong">
    <w:name w:val="Strong"/>
    <w:basedOn w:val="DefaultParagraphFont"/>
    <w:uiPriority w:val="22"/>
    <w:qFormat/>
    <w:rsid w:val="00692E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F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700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1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r.se/Upphandling/Kriterier/Kontor-och-textil/Pappersprodukter/" TargetMode="External"/><Relationship Id="rId18" Type="http://schemas.openxmlformats.org/officeDocument/2006/relationships/hyperlink" Target="http://www.cites.org/eng/disc/species.s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sr.se/Upphandling/Kriterier/Kontor-och-textil/Pappersprodukter/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cites.org/eng/disc/species.shtml" TargetMode="External"/><Relationship Id="rId17" Type="http://schemas.openxmlformats.org/officeDocument/2006/relationships/hyperlink" Target="http://www.cites.org/eng/disc/species.shtml" TargetMode="External"/><Relationship Id="rId25" Type="http://schemas.openxmlformats.org/officeDocument/2006/relationships/hyperlink" Target="http://eur-lex.europa.eu/LexUriServ/LexUriServ.do?uri=OJ:L:2011:149:0012:0024:EN: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r.se/Upphandling/Kriterier/Kontor-och-textil/Pappersprodukter/" TargetMode="External"/><Relationship Id="rId20" Type="http://schemas.openxmlformats.org/officeDocument/2006/relationships/hyperlink" Target="http://www.msr.se/Upphandling/Kriterier/Kontor-och-textil/Pappersprodukter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es.org/eng/disc/species.shtml" TargetMode="External"/><Relationship Id="rId24" Type="http://schemas.openxmlformats.org/officeDocument/2006/relationships/hyperlink" Target="http://eur-lex.europa.eu/LexUriServ/LexUriServ.do?uri=OJ:L:2009:197:0087:0095:EN: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sr.se/Upphandling/Kriterier/Kontor-och-textil/Pappersprodukter/" TargetMode="External"/><Relationship Id="rId23" Type="http://schemas.openxmlformats.org/officeDocument/2006/relationships/hyperlink" Target="http://eur-lex.europa.eu/LexUriServ/LexUriServ.do?uri=OJ:L:2011:149:0012:0024:EN: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sr.se/Upphandling/Kriterier/Kontor-och-textil/Pappersprodukter/" TargetMode="External"/><Relationship Id="rId19" Type="http://schemas.openxmlformats.org/officeDocument/2006/relationships/hyperlink" Target="http://www.msr.se/Upphandling/Kriterier/Kontor-och-textil/Pappersprodukter/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hyperlink" Target="http://www.msr.se/Upphandling/Kriterier/Kontor-och-textil/Pappersprodukter/" TargetMode="External"/><Relationship Id="rId22" Type="http://schemas.openxmlformats.org/officeDocument/2006/relationships/hyperlink" Target="http://www.msr.se/Upphandling/Kriterier/Kontor-och-textil/Pappersprodukter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43E6-B895-4CA0-8978-D9E2CEA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Hulda</cp:lastModifiedBy>
  <cp:revision>8</cp:revision>
  <cp:lastPrinted>2013-09-16T10:46:00Z</cp:lastPrinted>
  <dcterms:created xsi:type="dcterms:W3CDTF">2013-09-16T10:40:00Z</dcterms:created>
  <dcterms:modified xsi:type="dcterms:W3CDTF">2013-09-16T11:08:00Z</dcterms:modified>
</cp:coreProperties>
</file>