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487"/>
        <w:gridCol w:w="1011"/>
        <w:gridCol w:w="1728"/>
      </w:tblGrid>
      <w:tr w:rsidR="00F51B15" w:rsidTr="000A49FB">
        <w:trPr>
          <w:trHeight w:val="680"/>
        </w:trPr>
        <w:tc>
          <w:tcPr>
            <w:tcW w:w="6487" w:type="dxa"/>
            <w:vMerge w:val="restart"/>
            <w:vAlign w:val="center"/>
          </w:tcPr>
          <w:p w:rsidR="00F51B15" w:rsidRPr="000A49FB" w:rsidRDefault="00A34F1A" w:rsidP="000A49FB">
            <w:pPr>
              <w:pStyle w:val="Titill"/>
            </w:pPr>
            <w:r>
              <w:t>Sáraumbúðir</w:t>
            </w:r>
            <w:r w:rsidR="00F51B15" w:rsidRPr="000A49FB">
              <w:t xml:space="preserve"> - umhverfisskilyrði</w:t>
            </w:r>
          </w:p>
        </w:tc>
        <w:tc>
          <w:tcPr>
            <w:tcW w:w="1011" w:type="dxa"/>
            <w:vAlign w:val="bottom"/>
          </w:tcPr>
          <w:p w:rsidR="00F51B15" w:rsidRDefault="00F51B15">
            <w:r>
              <w:t>Dags.</w:t>
            </w:r>
          </w:p>
        </w:tc>
        <w:tc>
          <w:tcPr>
            <w:tcW w:w="1728" w:type="dxa"/>
            <w:vAlign w:val="bottom"/>
          </w:tcPr>
          <w:p w:rsidR="00F51B15" w:rsidRDefault="00F51B15" w:rsidP="00A34F1A">
            <w:pPr>
              <w:jc w:val="right"/>
            </w:pPr>
            <w:r>
              <w:t>201</w:t>
            </w:r>
            <w:r w:rsidR="00A34F1A">
              <w:t>2</w:t>
            </w:r>
            <w:r>
              <w:t>-</w:t>
            </w:r>
            <w:r w:rsidR="00A34F1A">
              <w:t>08</w:t>
            </w:r>
            <w:r>
              <w:t>-</w:t>
            </w:r>
            <w:r w:rsidR="00A34F1A">
              <w:t>30</w:t>
            </w:r>
          </w:p>
        </w:tc>
      </w:tr>
      <w:tr w:rsidR="00F51B15" w:rsidTr="000A49FB">
        <w:trPr>
          <w:trHeight w:val="680"/>
        </w:trPr>
        <w:tc>
          <w:tcPr>
            <w:tcW w:w="6487" w:type="dxa"/>
            <w:vMerge/>
            <w:vAlign w:val="center"/>
          </w:tcPr>
          <w:p w:rsidR="00F51B15" w:rsidRDefault="00F51B15"/>
        </w:tc>
        <w:tc>
          <w:tcPr>
            <w:tcW w:w="1011" w:type="dxa"/>
            <w:vAlign w:val="bottom"/>
          </w:tcPr>
          <w:p w:rsidR="00F51B15" w:rsidRDefault="00F51B15">
            <w:r>
              <w:t>Útgáfa</w:t>
            </w:r>
          </w:p>
        </w:tc>
        <w:tc>
          <w:tcPr>
            <w:tcW w:w="1728" w:type="dxa"/>
            <w:vAlign w:val="bottom"/>
          </w:tcPr>
          <w:p w:rsidR="00F51B15" w:rsidRDefault="000A49FB" w:rsidP="00A34F1A">
            <w:pPr>
              <w:jc w:val="right"/>
            </w:pPr>
            <w:r>
              <w:t>1.</w:t>
            </w:r>
            <w:r w:rsidR="00A34F1A">
              <w:t>1</w:t>
            </w:r>
          </w:p>
        </w:tc>
      </w:tr>
    </w:tbl>
    <w:p w:rsidR="007566D8" w:rsidRPr="00F51B15" w:rsidRDefault="000A49FB" w:rsidP="00994DE5">
      <w:pPr>
        <w:pStyle w:val="Heading1"/>
        <w:numPr>
          <w:ilvl w:val="0"/>
          <w:numId w:val="0"/>
        </w:numPr>
        <w:ind w:left="431" w:hanging="431"/>
      </w:pPr>
      <w:r>
        <w:t>V</w:t>
      </w:r>
      <w:r w:rsidR="007566D8" w:rsidRPr="00F51B15">
        <w:t>iðfangsefni og gildissvið</w:t>
      </w:r>
    </w:p>
    <w:p w:rsidR="002A0F11" w:rsidRDefault="002A0F11" w:rsidP="002A0F11">
      <w:r>
        <w:t xml:space="preserve">Umhverfisskilyrðin eru sett fram á vegum verkefnisins Vistvæn innkaup sem er samstarfsverkefni ríkis og sveitarfélaga, sjá nánar á </w:t>
      </w:r>
      <w:hyperlink r:id="rId8" w:history="1">
        <w:r w:rsidRPr="00E06B88">
          <w:rPr>
            <w:rStyle w:val="Hyperlink"/>
          </w:rPr>
          <w:t>www.vinn.is</w:t>
        </w:r>
      </w:hyperlink>
      <w:r>
        <w:t xml:space="preserve">. </w:t>
      </w:r>
    </w:p>
    <w:p w:rsidR="00A34F1A" w:rsidRDefault="00A34F1A" w:rsidP="00A34F1A">
      <w:pPr>
        <w:keepLines/>
        <w:widowControl w:val="0"/>
        <w:autoSpaceDE w:val="0"/>
        <w:autoSpaceDN w:val="0"/>
        <w:adjustRightInd w:val="0"/>
        <w:spacing w:before="120"/>
      </w:pPr>
      <w:r w:rsidRPr="00D70B31">
        <w:t xml:space="preserve">Viðmiðin </w:t>
      </w:r>
      <w:r>
        <w:t>í þessu skjali eru þróuð eftir viðmikið samráð við margvíslegra hagsmunahópa á Norðurlöndunum.</w:t>
      </w:r>
      <w:r>
        <w:rPr>
          <w:noProof/>
          <w:lang w:eastAsia="is-IS"/>
        </w:rPr>
        <w:t xml:space="preserve">              </w:t>
      </w:r>
    </w:p>
    <w:p w:rsidR="00A34F1A" w:rsidRDefault="00A34F1A" w:rsidP="00A34F1A">
      <w:pPr>
        <w:keepLines/>
        <w:widowControl w:val="0"/>
        <w:autoSpaceDE w:val="0"/>
        <w:autoSpaceDN w:val="0"/>
        <w:adjustRightInd w:val="0"/>
        <w:spacing w:before="120"/>
      </w:pPr>
    </w:p>
    <w:p w:rsidR="00A34F1A" w:rsidRPr="004D7ADB" w:rsidRDefault="00A34F1A" w:rsidP="00A34F1A">
      <w:pPr>
        <w:keepLines/>
        <w:widowControl w:val="0"/>
        <w:autoSpaceDE w:val="0"/>
        <w:autoSpaceDN w:val="0"/>
        <w:adjustRightInd w:val="0"/>
        <w:spacing w:before="120"/>
        <w:rPr>
          <w:b/>
        </w:rPr>
      </w:pPr>
      <w:r w:rsidRPr="004D7ADB">
        <w:rPr>
          <w:b/>
        </w:rPr>
        <w:t xml:space="preserve">Viðmiðin taka til og fjalla um eftirfarandi vöruflokka: </w:t>
      </w:r>
    </w:p>
    <w:p w:rsidR="00A34F1A" w:rsidRPr="004D7ADB" w:rsidRDefault="00A34F1A" w:rsidP="00A34F1A">
      <w:pPr>
        <w:pStyle w:val="BodyText1"/>
        <w:numPr>
          <w:ilvl w:val="0"/>
          <w:numId w:val="15"/>
        </w:numPr>
        <w:rPr>
          <w:b/>
          <w:lang w:val="is-IS"/>
        </w:rPr>
      </w:pPr>
      <w:r w:rsidRPr="004D7ADB">
        <w:rPr>
          <w:b/>
          <w:lang w:val="is-IS"/>
        </w:rPr>
        <w:t>Svampar og grisjuþófar úr ofnum eða óofnum grisjum</w:t>
      </w:r>
    </w:p>
    <w:p w:rsidR="00A34F1A" w:rsidRPr="004D7ADB" w:rsidRDefault="00A34F1A" w:rsidP="00A34F1A">
      <w:pPr>
        <w:pStyle w:val="BodyText1"/>
        <w:numPr>
          <w:ilvl w:val="0"/>
          <w:numId w:val="15"/>
        </w:numPr>
        <w:rPr>
          <w:b/>
          <w:lang w:val="is-IS"/>
        </w:rPr>
      </w:pPr>
      <w:r w:rsidRPr="004D7ADB">
        <w:rPr>
          <w:b/>
          <w:lang w:val="is-IS"/>
        </w:rPr>
        <w:t>Ógegndreyptar, rakadrægar sáraumbúðir</w:t>
      </w:r>
    </w:p>
    <w:p w:rsidR="00A34F1A" w:rsidRPr="004D7ADB" w:rsidRDefault="00A34F1A" w:rsidP="00A34F1A">
      <w:pPr>
        <w:pStyle w:val="BodyText1"/>
        <w:numPr>
          <w:ilvl w:val="0"/>
          <w:numId w:val="15"/>
        </w:numPr>
        <w:rPr>
          <w:b/>
          <w:lang w:val="is-IS"/>
        </w:rPr>
      </w:pPr>
      <w:r w:rsidRPr="004D7ADB">
        <w:rPr>
          <w:b/>
          <w:lang w:val="is-IS"/>
        </w:rPr>
        <w:t>Festihlutir</w:t>
      </w:r>
    </w:p>
    <w:p w:rsidR="00A34F1A" w:rsidRPr="004D7ADB" w:rsidRDefault="00A34F1A" w:rsidP="00A34F1A">
      <w:pPr>
        <w:pStyle w:val="BodyText1"/>
        <w:numPr>
          <w:ilvl w:val="0"/>
          <w:numId w:val="15"/>
        </w:numPr>
        <w:rPr>
          <w:b/>
          <w:lang w:val="is-IS"/>
        </w:rPr>
      </w:pPr>
      <w:r w:rsidRPr="004D7ADB">
        <w:rPr>
          <w:b/>
          <w:lang w:val="is-IS"/>
        </w:rPr>
        <w:t>Pípulaga grisjur</w:t>
      </w:r>
    </w:p>
    <w:p w:rsidR="00A34F1A" w:rsidRPr="004D7ADB" w:rsidRDefault="00A34F1A" w:rsidP="00A34F1A">
      <w:pPr>
        <w:pStyle w:val="BodyText1"/>
        <w:numPr>
          <w:ilvl w:val="0"/>
          <w:numId w:val="15"/>
        </w:numPr>
        <w:rPr>
          <w:b/>
          <w:lang w:val="is-IS"/>
        </w:rPr>
      </w:pPr>
      <w:r w:rsidRPr="004D7ADB">
        <w:rPr>
          <w:b/>
          <w:lang w:val="is-IS"/>
        </w:rPr>
        <w:t>Límbönd</w:t>
      </w:r>
    </w:p>
    <w:p w:rsidR="00A34F1A" w:rsidRPr="004D7ADB" w:rsidRDefault="00A34F1A" w:rsidP="00A34F1A">
      <w:pPr>
        <w:pStyle w:val="BodyText1"/>
        <w:numPr>
          <w:ilvl w:val="0"/>
          <w:numId w:val="15"/>
        </w:numPr>
        <w:rPr>
          <w:b/>
          <w:lang w:val="is-IS"/>
        </w:rPr>
      </w:pPr>
      <w:proofErr w:type="spellStart"/>
      <w:r w:rsidRPr="004D7ADB">
        <w:rPr>
          <w:b/>
          <w:lang w:val="is-IS"/>
        </w:rPr>
        <w:t>Seymilímbönd</w:t>
      </w:r>
      <w:proofErr w:type="spellEnd"/>
    </w:p>
    <w:p w:rsidR="00A34F1A" w:rsidRPr="004D7ADB" w:rsidRDefault="00A34F1A" w:rsidP="00A34F1A">
      <w:pPr>
        <w:pStyle w:val="BodyText1"/>
        <w:numPr>
          <w:ilvl w:val="0"/>
          <w:numId w:val="15"/>
        </w:numPr>
        <w:rPr>
          <w:b/>
          <w:lang w:val="is-IS"/>
        </w:rPr>
      </w:pPr>
      <w:r w:rsidRPr="004D7ADB">
        <w:rPr>
          <w:b/>
          <w:lang w:val="is-IS"/>
        </w:rPr>
        <w:t>Límefni</w:t>
      </w:r>
    </w:p>
    <w:p w:rsidR="00A34F1A" w:rsidRPr="004D7ADB" w:rsidRDefault="00A34F1A" w:rsidP="00A34F1A">
      <w:pPr>
        <w:pStyle w:val="BodyText1"/>
        <w:numPr>
          <w:ilvl w:val="0"/>
          <w:numId w:val="15"/>
        </w:numPr>
        <w:rPr>
          <w:b/>
          <w:lang w:val="is-IS"/>
        </w:rPr>
      </w:pPr>
      <w:r w:rsidRPr="004D7ADB">
        <w:rPr>
          <w:b/>
          <w:lang w:val="is-IS"/>
        </w:rPr>
        <w:t xml:space="preserve">Sáraumbúðir </w:t>
      </w:r>
    </w:p>
    <w:p w:rsidR="00A34F1A" w:rsidRPr="004D7ADB" w:rsidRDefault="00A34F1A" w:rsidP="00A34F1A">
      <w:pPr>
        <w:pStyle w:val="BodyText1"/>
        <w:numPr>
          <w:ilvl w:val="0"/>
          <w:numId w:val="15"/>
        </w:numPr>
        <w:rPr>
          <w:b/>
          <w:lang w:val="is-IS"/>
        </w:rPr>
      </w:pPr>
      <w:r w:rsidRPr="004D7ADB">
        <w:rPr>
          <w:b/>
          <w:lang w:val="is-IS"/>
        </w:rPr>
        <w:t>Límfilmur</w:t>
      </w:r>
    </w:p>
    <w:p w:rsidR="00A34F1A" w:rsidRPr="004D7ADB" w:rsidRDefault="00A34F1A" w:rsidP="00A34F1A">
      <w:pPr>
        <w:pStyle w:val="BodyText1"/>
        <w:numPr>
          <w:ilvl w:val="0"/>
          <w:numId w:val="15"/>
        </w:numPr>
        <w:rPr>
          <w:b/>
          <w:lang w:val="is-IS"/>
        </w:rPr>
      </w:pPr>
      <w:proofErr w:type="spellStart"/>
      <w:r w:rsidRPr="004D7ADB">
        <w:rPr>
          <w:b/>
          <w:lang w:val="is-IS"/>
        </w:rPr>
        <w:t>Pólýúretan</w:t>
      </w:r>
      <w:proofErr w:type="spellEnd"/>
      <w:r w:rsidRPr="004D7ADB">
        <w:rPr>
          <w:b/>
          <w:lang w:val="is-IS"/>
        </w:rPr>
        <w:t xml:space="preserve"> filmur</w:t>
      </w:r>
    </w:p>
    <w:p w:rsidR="00A34F1A" w:rsidRPr="004D7ADB" w:rsidRDefault="00A34F1A" w:rsidP="00A34F1A">
      <w:pPr>
        <w:pStyle w:val="BodyText1"/>
        <w:numPr>
          <w:ilvl w:val="0"/>
          <w:numId w:val="15"/>
        </w:numPr>
        <w:rPr>
          <w:b/>
          <w:lang w:val="is-IS"/>
        </w:rPr>
      </w:pPr>
      <w:r w:rsidRPr="004D7ADB">
        <w:rPr>
          <w:b/>
          <w:lang w:val="is-IS"/>
        </w:rPr>
        <w:t xml:space="preserve">Sáraumbúðir með örverueyðandi íblöndunarefnum sem notuð eru við mjög alvarlegum brunasárum. </w:t>
      </w:r>
    </w:p>
    <w:p w:rsidR="00A34F1A" w:rsidRPr="00A34F1A" w:rsidRDefault="00A34F1A" w:rsidP="00A34F1A">
      <w:pPr>
        <w:pStyle w:val="BodyText1"/>
        <w:ind w:left="720"/>
        <w:rPr>
          <w:lang w:val="is-IS"/>
        </w:rPr>
      </w:pPr>
    </w:p>
    <w:p w:rsidR="00DA346D" w:rsidRDefault="00DA346D" w:rsidP="00DA346D">
      <w:r>
        <w:t>Grunn- og ítarviðmiðin samanstanda af lágmarksskilyrðum og matsviðmiðum:</w:t>
      </w:r>
    </w:p>
    <w:p w:rsidR="00DA346D" w:rsidRDefault="00DA346D" w:rsidP="00DA346D">
      <w:r w:rsidRPr="000B4048">
        <w:rPr>
          <w:b/>
        </w:rPr>
        <w:t>Lágmarksskilyrði</w:t>
      </w:r>
      <w:r>
        <w:t>; eru ófrávíkjanleg skilyrði sem boðin vara eða þjónusta skal uppfylla til að tilboð verði tekið til nánari skoðunar.</w:t>
      </w:r>
    </w:p>
    <w:p w:rsidR="002A0F11" w:rsidRPr="00DD1129" w:rsidRDefault="00DA346D" w:rsidP="00DA346D">
      <w:r w:rsidRPr="000B4048">
        <w:rPr>
          <w:b/>
        </w:rPr>
        <w:t>Matsviðmið</w:t>
      </w:r>
      <w:r>
        <w:t>;</w:t>
      </w:r>
      <w:r w:rsidRPr="00F55608">
        <w:t xml:space="preserve"> </w:t>
      </w:r>
      <w:r>
        <w:t>má nota</w:t>
      </w:r>
      <w:r w:rsidRPr="00DD1129">
        <w:t xml:space="preserve"> ef útboðsaðili vill veita tilboði aukastig sem stendur sig betur en lágmarksskilyrðin segja til um varðandi umhverfis-</w:t>
      </w:r>
      <w:r>
        <w:t xml:space="preserve"> </w:t>
      </w:r>
      <w:r w:rsidRPr="00DD1129">
        <w:t>og gæðaþætti. Í stigamatsgjöf geta matsviðmið fyrir umhverfisþætti veg</w:t>
      </w:r>
      <w:r>
        <w:t>ið 10 til 15% af heildareinkunn</w:t>
      </w:r>
      <w:r w:rsidRPr="00DD1129">
        <w:t>.</w:t>
      </w:r>
      <w:r w:rsidR="002A0F11">
        <w:t xml:space="preserve"> </w:t>
      </w:r>
    </w:p>
    <w:p w:rsidR="007566D8" w:rsidRDefault="007566D8" w:rsidP="002A0F11"/>
    <w:p w:rsidR="007D3928" w:rsidRDefault="007D3928">
      <w:pPr>
        <w:spacing w:after="200"/>
        <w:rPr>
          <w:rFonts w:eastAsiaTheme="majorEastAsia" w:cstheme="majorBidi"/>
          <w:b/>
          <w:bCs/>
          <w:smallCaps/>
          <w:sz w:val="32"/>
          <w:szCs w:val="28"/>
        </w:rPr>
      </w:pPr>
      <w:r>
        <w:br w:type="page"/>
      </w:r>
    </w:p>
    <w:p w:rsidR="007566D8" w:rsidRPr="00F51B15" w:rsidRDefault="00F404FF" w:rsidP="007D3928">
      <w:pPr>
        <w:pStyle w:val="Heading1"/>
        <w:numPr>
          <w:ilvl w:val="0"/>
          <w:numId w:val="0"/>
        </w:numPr>
        <w:ind w:left="431" w:hanging="431"/>
      </w:pPr>
      <w:r>
        <w:lastRenderedPageBreak/>
        <w:t>Helstu umhverfisáhrif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7"/>
        <w:gridCol w:w="4641"/>
      </w:tblGrid>
      <w:tr w:rsidR="007D3928" w:rsidTr="00980979">
        <w:tc>
          <w:tcPr>
            <w:tcW w:w="7072" w:type="dxa"/>
          </w:tcPr>
          <w:p w:rsidR="007D3928" w:rsidRDefault="007D3928" w:rsidP="00980979">
            <w:pPr>
              <w:rPr>
                <w:b/>
              </w:rPr>
            </w:pPr>
            <w:r>
              <w:rPr>
                <w:b/>
              </w:rPr>
              <w:t>Helstu umhverfisáhrif</w:t>
            </w:r>
          </w:p>
        </w:tc>
        <w:tc>
          <w:tcPr>
            <w:tcW w:w="7072" w:type="dxa"/>
          </w:tcPr>
          <w:p w:rsidR="007D3928" w:rsidRDefault="00A34F1A" w:rsidP="00980979">
            <w:pPr>
              <w:rPr>
                <w:b/>
              </w:rPr>
            </w:pPr>
            <w:r>
              <w:rPr>
                <w:b/>
              </w:rPr>
              <w:t xml:space="preserve">Nálgun </w:t>
            </w:r>
          </w:p>
        </w:tc>
      </w:tr>
      <w:tr w:rsidR="007D3928" w:rsidTr="00980979">
        <w:tc>
          <w:tcPr>
            <w:tcW w:w="7072" w:type="dxa"/>
          </w:tcPr>
          <w:p w:rsidR="00A34F1A" w:rsidRPr="00A34F1A" w:rsidRDefault="00A34F1A" w:rsidP="00A34F1A">
            <w:pPr>
              <w:pStyle w:val="ListParagraph"/>
              <w:numPr>
                <w:ilvl w:val="0"/>
                <w:numId w:val="17"/>
              </w:numPr>
            </w:pPr>
            <w:r w:rsidRPr="00A34F1A">
              <w:t>Þol gegn sýklalyfjum</w:t>
            </w:r>
          </w:p>
          <w:p w:rsidR="00A34F1A" w:rsidRPr="00A34F1A" w:rsidRDefault="00A34F1A" w:rsidP="00A34F1A">
            <w:pPr>
              <w:pStyle w:val="ListParagraph"/>
              <w:numPr>
                <w:ilvl w:val="0"/>
                <w:numId w:val="17"/>
              </w:numPr>
            </w:pPr>
            <w:r w:rsidRPr="00F43E05">
              <w:rPr>
                <w:i/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845033" wp14:editId="1E05ABBE">
                      <wp:simplePos x="0" y="0"/>
                      <wp:positionH relativeFrom="column">
                        <wp:posOffset>2550160</wp:posOffset>
                      </wp:positionH>
                      <wp:positionV relativeFrom="paragraph">
                        <wp:posOffset>22860</wp:posOffset>
                      </wp:positionV>
                      <wp:extent cx="572135" cy="396875"/>
                      <wp:effectExtent l="19050" t="19050" r="37465" b="41275"/>
                      <wp:wrapNone/>
                      <wp:docPr id="1" name="Notched 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2135" cy="396875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Notched Right Arrow 1" o:spid="_x0000_s1026" type="#_x0000_t94" style="position:absolute;margin-left:200.8pt;margin-top:1.8pt;width:45.05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" adj="14108" fillcolor="#92d050" strokecolor="black [3213]" strokeweight=".25pt">
                      <v:path arrowok="t"/>
                    </v:shape>
                  </w:pict>
                </mc:Fallback>
              </mc:AlternateContent>
            </w:r>
            <w:r w:rsidRPr="00A34F1A">
              <w:t xml:space="preserve">Hættuleg innihaldsefni </w:t>
            </w:r>
          </w:p>
          <w:p w:rsidR="007D3928" w:rsidRPr="00A34F1A" w:rsidRDefault="00A34F1A" w:rsidP="00A34F1A">
            <w:pPr>
              <w:pStyle w:val="ListParagraph"/>
              <w:numPr>
                <w:ilvl w:val="0"/>
                <w:numId w:val="17"/>
              </w:numPr>
            </w:pPr>
            <w:r>
              <w:t>Umbúðir</w:t>
            </w:r>
          </w:p>
        </w:tc>
        <w:tc>
          <w:tcPr>
            <w:tcW w:w="7072" w:type="dxa"/>
          </w:tcPr>
          <w:p w:rsidR="00A34F1A" w:rsidRPr="00A34F1A" w:rsidRDefault="00A34F1A" w:rsidP="00A34F1A">
            <w:pPr>
              <w:pStyle w:val="ListParagraph"/>
              <w:numPr>
                <w:ilvl w:val="0"/>
                <w:numId w:val="17"/>
              </w:numPr>
            </w:pPr>
            <w:r w:rsidRPr="00A34F1A">
              <w:t xml:space="preserve">Velja vöru án íblöndunarefna </w:t>
            </w:r>
          </w:p>
          <w:p w:rsidR="00A34F1A" w:rsidRPr="00A34F1A" w:rsidRDefault="00A34F1A" w:rsidP="00A34F1A">
            <w:pPr>
              <w:pStyle w:val="ListParagraph"/>
              <w:numPr>
                <w:ilvl w:val="0"/>
                <w:numId w:val="17"/>
              </w:numPr>
            </w:pPr>
            <w:r w:rsidRPr="00A34F1A">
              <w:t>Velja vöru án hættulegra innihaldsefna</w:t>
            </w:r>
          </w:p>
          <w:p w:rsidR="007D3928" w:rsidRPr="00A34F1A" w:rsidRDefault="00A34F1A" w:rsidP="00A34F1A">
            <w:pPr>
              <w:pStyle w:val="ListParagraph"/>
              <w:numPr>
                <w:ilvl w:val="0"/>
                <w:numId w:val="17"/>
              </w:numPr>
            </w:pPr>
            <w:r w:rsidRPr="00A34F1A">
              <w:t xml:space="preserve">Velja óbleiktar vörur án </w:t>
            </w:r>
            <w:proofErr w:type="spellStart"/>
            <w:r w:rsidRPr="00A34F1A">
              <w:t>pólývínýlklóríðs</w:t>
            </w:r>
            <w:proofErr w:type="spellEnd"/>
            <w:r w:rsidRPr="00A34F1A">
              <w:t xml:space="preserve"> (PVC)</w:t>
            </w:r>
          </w:p>
        </w:tc>
      </w:tr>
    </w:tbl>
    <w:p w:rsidR="00994DE5" w:rsidRDefault="00994DE5">
      <w:pPr>
        <w:spacing w:after="200"/>
        <w:rPr>
          <w:rFonts w:eastAsiaTheme="majorEastAsia" w:cstheme="majorBidi"/>
          <w:b/>
          <w:bCs/>
          <w:smallCaps/>
          <w:sz w:val="32"/>
          <w:szCs w:val="28"/>
        </w:rPr>
      </w:pPr>
      <w:r>
        <w:br w:type="page"/>
      </w:r>
    </w:p>
    <w:p w:rsidR="00F404FF" w:rsidRDefault="00624EED" w:rsidP="00F404FF">
      <w:pPr>
        <w:pStyle w:val="Heading1"/>
      </w:pPr>
      <w:r>
        <w:lastRenderedPageBreak/>
        <w:t>Sáraumbúðir</w:t>
      </w:r>
    </w:p>
    <w:tbl>
      <w:tblPr>
        <w:tblStyle w:val="TableGrid1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A34F1A" w:rsidRPr="00994DE5" w:rsidTr="00A34F1A">
        <w:tc>
          <w:tcPr>
            <w:tcW w:w="9180" w:type="dxa"/>
            <w:shd w:val="clear" w:color="auto" w:fill="FFFF00"/>
          </w:tcPr>
          <w:p w:rsidR="00A34F1A" w:rsidRPr="00B17204" w:rsidRDefault="00A34F1A" w:rsidP="00B17204">
            <w:pPr>
              <w:pStyle w:val="Titill"/>
            </w:pPr>
            <w:r w:rsidRPr="00B17204">
              <w:t>Grunnviðmið</w:t>
            </w:r>
          </w:p>
        </w:tc>
      </w:tr>
      <w:tr w:rsidR="00A34F1A" w:rsidRPr="00994DE5" w:rsidTr="00A34F1A">
        <w:tc>
          <w:tcPr>
            <w:tcW w:w="9180" w:type="dxa"/>
            <w:shd w:val="clear" w:color="auto" w:fill="92D050"/>
          </w:tcPr>
          <w:p w:rsidR="00A34F1A" w:rsidRPr="00994DE5" w:rsidRDefault="00A34F1A" w:rsidP="00994DE5">
            <w:pPr>
              <w:spacing w:line="276" w:lineRule="auto"/>
              <w:rPr>
                <w:b/>
              </w:rPr>
            </w:pPr>
            <w:r w:rsidRPr="00994DE5">
              <w:rPr>
                <w:b/>
              </w:rPr>
              <w:t>LÁGMARKSSKILYRÐI</w:t>
            </w:r>
          </w:p>
        </w:tc>
      </w:tr>
      <w:tr w:rsidR="00A34F1A" w:rsidRPr="00994DE5" w:rsidTr="00A34F1A">
        <w:tc>
          <w:tcPr>
            <w:tcW w:w="9180" w:type="dxa"/>
          </w:tcPr>
          <w:p w:rsidR="00A34F1A" w:rsidRDefault="00A34F1A" w:rsidP="00A34F1A">
            <w:pPr>
              <w:spacing w:before="120" w:line="280" w:lineRule="exact"/>
            </w:pPr>
            <w:r>
              <w:rPr>
                <w:b/>
              </w:rPr>
              <w:t>1</w:t>
            </w:r>
            <w:r w:rsidRPr="006C5207">
              <w:rPr>
                <w:b/>
              </w:rPr>
              <w:t>.</w:t>
            </w:r>
            <w:r w:rsidRPr="006C5207">
              <w:t xml:space="preserve"> </w:t>
            </w:r>
            <w:r w:rsidRPr="005B70A1">
              <w:rPr>
                <w:b/>
              </w:rPr>
              <w:t>Sýklalyf</w:t>
            </w:r>
            <w:r>
              <w:t xml:space="preserve"> </w:t>
            </w:r>
          </w:p>
          <w:p w:rsidR="00A34F1A" w:rsidRPr="00A34F1A" w:rsidRDefault="00A34F1A" w:rsidP="00A34F1A">
            <w:pPr>
              <w:spacing w:line="276" w:lineRule="auto"/>
              <w:rPr>
                <w:rFonts w:cs="Times New Roman"/>
                <w:szCs w:val="24"/>
              </w:rPr>
            </w:pPr>
            <w:r w:rsidRPr="005E569B">
              <w:t xml:space="preserve">Varan </w:t>
            </w:r>
            <w:r>
              <w:t>skal</w:t>
            </w:r>
            <w:r w:rsidRPr="005E569B">
              <w:t xml:space="preserve"> ekki innihalda íblöndunarefni með sýklalyfjum (</w:t>
            </w:r>
            <w:r>
              <w:t>m</w:t>
            </w:r>
            <w:r w:rsidRPr="005E569B">
              <w:t>eð íblöndunarefnum er átt við efni sem er vísvitandi bætt í vöruna).</w:t>
            </w:r>
          </w:p>
        </w:tc>
      </w:tr>
      <w:tr w:rsidR="00A34F1A" w:rsidRPr="00994DE5" w:rsidTr="00A34F1A">
        <w:tc>
          <w:tcPr>
            <w:tcW w:w="9180" w:type="dxa"/>
          </w:tcPr>
          <w:p w:rsidR="00A34F1A" w:rsidRDefault="00A34F1A" w:rsidP="00A34F1A">
            <w:pPr>
              <w:spacing w:before="120" w:line="280" w:lineRule="exact"/>
              <w:rPr>
                <w:b/>
              </w:rPr>
            </w:pPr>
            <w:r>
              <w:rPr>
                <w:b/>
              </w:rPr>
              <w:t>2. Örverueyðandi íblöndunarefni</w:t>
            </w:r>
          </w:p>
          <w:p w:rsidR="00A34F1A" w:rsidRPr="00A34F1A" w:rsidRDefault="00A34F1A" w:rsidP="00A34F1A">
            <w:pPr>
              <w:spacing w:line="276" w:lineRule="auto"/>
              <w:rPr>
                <w:rFonts w:cs="Times New Roman"/>
                <w:szCs w:val="24"/>
              </w:rPr>
            </w:pPr>
            <w:r w:rsidRPr="005E569B">
              <w:t xml:space="preserve">Varan </w:t>
            </w:r>
            <w:r>
              <w:t>skal</w:t>
            </w:r>
            <w:r w:rsidRPr="005E569B">
              <w:t xml:space="preserve"> ekki innihalda </w:t>
            </w:r>
            <w:r>
              <w:t xml:space="preserve">viðbætt </w:t>
            </w:r>
            <w:proofErr w:type="spellStart"/>
            <w:r w:rsidRPr="005E569B">
              <w:t>tríklósan</w:t>
            </w:r>
            <w:proofErr w:type="spellEnd"/>
            <w:r w:rsidRPr="005E569B">
              <w:t xml:space="preserve"> </w:t>
            </w:r>
            <w:r>
              <w:t>(</w:t>
            </w:r>
            <w:r w:rsidRPr="005E569B">
              <w:t>CAS nr. 3380-34-5</w:t>
            </w:r>
            <w:r>
              <w:t>)</w:t>
            </w:r>
            <w:r w:rsidRPr="005E569B">
              <w:t>.</w:t>
            </w:r>
          </w:p>
        </w:tc>
      </w:tr>
      <w:tr w:rsidR="00A34F1A" w:rsidRPr="00994DE5" w:rsidTr="00A34F1A">
        <w:trPr>
          <w:trHeight w:val="779"/>
        </w:trPr>
        <w:tc>
          <w:tcPr>
            <w:tcW w:w="9180" w:type="dxa"/>
          </w:tcPr>
          <w:p w:rsidR="00A34F1A" w:rsidRDefault="00A34F1A" w:rsidP="00A34F1A">
            <w:pPr>
              <w:spacing w:before="120" w:line="280" w:lineRule="exact"/>
              <w:rPr>
                <w:b/>
              </w:rPr>
            </w:pPr>
            <w:r>
              <w:rPr>
                <w:b/>
              </w:rPr>
              <w:t>3</w:t>
            </w:r>
            <w:r w:rsidRPr="006C5207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Silfur</w:t>
            </w:r>
          </w:p>
          <w:p w:rsidR="00A34F1A" w:rsidRDefault="00A34F1A" w:rsidP="00A34F1A">
            <w:pPr>
              <w:pStyle w:val="Bulletpoints"/>
            </w:pPr>
            <w:r w:rsidRPr="005E569B">
              <w:t xml:space="preserve">Varan </w:t>
            </w:r>
            <w:r>
              <w:t>skal</w:t>
            </w:r>
            <w:r w:rsidRPr="005E569B">
              <w:t xml:space="preserve"> ekki innihalda </w:t>
            </w:r>
            <w:r>
              <w:t xml:space="preserve">viðbætt </w:t>
            </w:r>
            <w:r w:rsidRPr="005E569B">
              <w:t>silfur, hvorki í formi málms né efnablöndu.</w:t>
            </w:r>
          </w:p>
          <w:p w:rsidR="004D7ADB" w:rsidRDefault="004D7ADB" w:rsidP="00A34F1A">
            <w:pPr>
              <w:spacing w:line="276" w:lineRule="auto"/>
              <w:rPr>
                <w:b/>
              </w:rPr>
            </w:pPr>
          </w:p>
          <w:p w:rsidR="00A34F1A" w:rsidRPr="00A34F1A" w:rsidRDefault="00A34F1A" w:rsidP="00A34F1A">
            <w:pPr>
              <w:spacing w:line="276" w:lineRule="auto"/>
              <w:rPr>
                <w:rFonts w:cs="Times New Roman"/>
                <w:szCs w:val="24"/>
              </w:rPr>
            </w:pPr>
            <w:r w:rsidRPr="00631F04">
              <w:rPr>
                <w:b/>
              </w:rPr>
              <w:t>Athugasemdir</w:t>
            </w:r>
            <w:r w:rsidRPr="005E569B">
              <w:t>: Þetta skilyrði á ekki við í sérstökum tilfellum, t.d. um sáraumbúðir fyrir mjög alvarleg brunasár.</w:t>
            </w:r>
          </w:p>
        </w:tc>
      </w:tr>
      <w:tr w:rsidR="00A34F1A" w:rsidRPr="00994DE5" w:rsidTr="00A34F1A">
        <w:trPr>
          <w:trHeight w:val="850"/>
        </w:trPr>
        <w:tc>
          <w:tcPr>
            <w:tcW w:w="9180" w:type="dxa"/>
          </w:tcPr>
          <w:p w:rsidR="00A34F1A" w:rsidRDefault="00A34F1A" w:rsidP="00A34F1A">
            <w:pPr>
              <w:spacing w:before="120" w:line="280" w:lineRule="exact"/>
              <w:rPr>
                <w:b/>
              </w:rPr>
            </w:pPr>
            <w:r>
              <w:rPr>
                <w:b/>
              </w:rPr>
              <w:t>4</w:t>
            </w:r>
            <w:r w:rsidRPr="00631F04">
              <w:rPr>
                <w:b/>
              </w:rPr>
              <w:t>.</w:t>
            </w:r>
            <w:r>
              <w:rPr>
                <w:b/>
              </w:rPr>
              <w:t xml:space="preserve"> Ofnæmisvaldandi íblöndunarefni</w:t>
            </w:r>
          </w:p>
          <w:p w:rsidR="00A34F1A" w:rsidRPr="00A34F1A" w:rsidRDefault="00A34F1A" w:rsidP="00A34F1A">
            <w:pPr>
              <w:spacing w:line="276" w:lineRule="auto"/>
              <w:rPr>
                <w:rFonts w:cs="Times New Roman"/>
                <w:szCs w:val="24"/>
              </w:rPr>
            </w:pPr>
            <w:r w:rsidRPr="005E569B">
              <w:t xml:space="preserve">Varan </w:t>
            </w:r>
            <w:r>
              <w:t>skal</w:t>
            </w:r>
            <w:r w:rsidRPr="005E569B">
              <w:t xml:space="preserve"> ekki innihalda </w:t>
            </w:r>
            <w:r>
              <w:t xml:space="preserve">viðbætt </w:t>
            </w:r>
            <w:r w:rsidRPr="005E569B">
              <w:t>náttúrulegt gúmmílatex. Hinsvegar á þetta skilyrði eins og stendur ekki við um sáraumbúðir með límlagi.</w:t>
            </w:r>
          </w:p>
        </w:tc>
      </w:tr>
      <w:tr w:rsidR="00A34F1A" w:rsidRPr="00994DE5" w:rsidTr="00A34F1A">
        <w:trPr>
          <w:trHeight w:val="850"/>
        </w:trPr>
        <w:tc>
          <w:tcPr>
            <w:tcW w:w="9180" w:type="dxa"/>
          </w:tcPr>
          <w:p w:rsidR="00A34F1A" w:rsidRDefault="00A34F1A" w:rsidP="00A34F1A">
            <w:pPr>
              <w:spacing w:before="120" w:line="280" w:lineRule="exact"/>
              <w:rPr>
                <w:b/>
              </w:rPr>
            </w:pPr>
            <w:r>
              <w:rPr>
                <w:b/>
              </w:rPr>
              <w:t>5</w:t>
            </w:r>
            <w:r w:rsidRPr="006C520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Lanólín</w:t>
            </w:r>
            <w:proofErr w:type="spellEnd"/>
          </w:p>
          <w:p w:rsidR="00A34F1A" w:rsidRPr="00A34F1A" w:rsidRDefault="00A34F1A" w:rsidP="00A34F1A">
            <w:pPr>
              <w:spacing w:line="276" w:lineRule="auto"/>
              <w:rPr>
                <w:rFonts w:cs="Times New Roman"/>
                <w:szCs w:val="24"/>
              </w:rPr>
            </w:pPr>
            <w:r w:rsidRPr="005E569B">
              <w:t xml:space="preserve">Varan </w:t>
            </w:r>
            <w:r>
              <w:t>skal</w:t>
            </w:r>
            <w:r w:rsidRPr="005E569B">
              <w:t xml:space="preserve"> ekki innihalda </w:t>
            </w:r>
            <w:r>
              <w:t xml:space="preserve">viðbætt </w:t>
            </w:r>
            <w:proofErr w:type="spellStart"/>
            <w:r w:rsidRPr="005E569B">
              <w:t>lanólín</w:t>
            </w:r>
            <w:proofErr w:type="spellEnd"/>
            <w:r>
              <w:t xml:space="preserve"> (</w:t>
            </w:r>
            <w:r w:rsidRPr="005E569B">
              <w:t>CAS nr. 8006-54-0</w:t>
            </w:r>
            <w:r>
              <w:t>)</w:t>
            </w:r>
            <w:r w:rsidRPr="005E569B">
              <w:t>.</w:t>
            </w:r>
          </w:p>
        </w:tc>
      </w:tr>
      <w:tr w:rsidR="00A34F1A" w:rsidRPr="00994DE5" w:rsidTr="00A34F1A">
        <w:trPr>
          <w:trHeight w:val="850"/>
        </w:trPr>
        <w:tc>
          <w:tcPr>
            <w:tcW w:w="9180" w:type="dxa"/>
          </w:tcPr>
          <w:p w:rsidR="00A34F1A" w:rsidRDefault="00A34F1A" w:rsidP="00A34F1A">
            <w:pPr>
              <w:spacing w:before="120" w:line="280" w:lineRule="exact"/>
              <w:rPr>
                <w:b/>
              </w:rPr>
            </w:pPr>
            <w:r>
              <w:rPr>
                <w:b/>
              </w:rPr>
              <w:t>6</w:t>
            </w:r>
            <w:r w:rsidRPr="006C5207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Rósín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colophony</w:t>
            </w:r>
            <w:proofErr w:type="spellEnd"/>
            <w:r>
              <w:rPr>
                <w:b/>
              </w:rPr>
              <w:t>)</w:t>
            </w:r>
          </w:p>
          <w:p w:rsidR="00A34F1A" w:rsidRPr="00A34F1A" w:rsidRDefault="00A34F1A" w:rsidP="00A34F1A">
            <w:pPr>
              <w:spacing w:line="276" w:lineRule="auto"/>
              <w:rPr>
                <w:rFonts w:cs="Times New Roman"/>
                <w:szCs w:val="24"/>
              </w:rPr>
            </w:pPr>
            <w:r w:rsidRPr="005E569B">
              <w:t xml:space="preserve">Vara </w:t>
            </w:r>
            <w:r>
              <w:t>skal</w:t>
            </w:r>
            <w:r w:rsidRPr="005E569B">
              <w:t xml:space="preserve"> ekki innihalda </w:t>
            </w:r>
            <w:r>
              <w:t xml:space="preserve">viðbætt </w:t>
            </w:r>
            <w:proofErr w:type="spellStart"/>
            <w:r w:rsidRPr="005E569B">
              <w:t>rósín</w:t>
            </w:r>
            <w:proofErr w:type="spellEnd"/>
            <w:r w:rsidRPr="005E569B">
              <w:t xml:space="preserve"> (</w:t>
            </w:r>
            <w:proofErr w:type="spellStart"/>
            <w:r w:rsidRPr="005E569B">
              <w:t>colophony</w:t>
            </w:r>
            <w:proofErr w:type="spellEnd"/>
            <w:r w:rsidRPr="005E569B">
              <w:t xml:space="preserve">) </w:t>
            </w:r>
            <w:r w:rsidRPr="00A34F1A">
              <w:rPr>
                <w:rStyle w:val="BulletpointstekstiChar"/>
                <w:lang w:val="is-IS"/>
              </w:rPr>
              <w:t xml:space="preserve">(CAS nr. 8050-09-7, 8052-10-6 eða 73138-82-6) </w:t>
            </w:r>
            <w:r w:rsidRPr="005E569B">
              <w:t>í sáraumbúðum með límlagi.</w:t>
            </w:r>
          </w:p>
        </w:tc>
      </w:tr>
      <w:tr w:rsidR="00A34F1A" w:rsidRPr="00994DE5" w:rsidTr="00A34F1A">
        <w:trPr>
          <w:trHeight w:val="850"/>
        </w:trPr>
        <w:tc>
          <w:tcPr>
            <w:tcW w:w="9180" w:type="dxa"/>
          </w:tcPr>
          <w:p w:rsidR="00A34F1A" w:rsidRDefault="00A34F1A" w:rsidP="004D7ADB">
            <w:pPr>
              <w:pStyle w:val="Bulletpoints"/>
              <w:spacing w:line="360" w:lineRule="auto"/>
              <w:rPr>
                <w:b/>
              </w:rPr>
            </w:pPr>
            <w:r w:rsidRPr="00845761">
              <w:rPr>
                <w:b/>
              </w:rPr>
              <w:t>7. Umbúðir</w:t>
            </w:r>
          </w:p>
          <w:p w:rsidR="00A34F1A" w:rsidRPr="00A34F1A" w:rsidRDefault="00A34F1A" w:rsidP="004D7ADB">
            <w:pPr>
              <w:spacing w:line="360" w:lineRule="auto"/>
              <w:rPr>
                <w:rFonts w:cs="Times New Roman"/>
                <w:szCs w:val="24"/>
              </w:rPr>
            </w:pPr>
            <w:r w:rsidRPr="003720B3">
              <w:rPr>
                <w:lang w:eastAsia="da-DK" w:bidi="hi-IN"/>
              </w:rPr>
              <w:t xml:space="preserve">Umbúðir (að merkingum meðtöldum) skulu ekki innihalda </w:t>
            </w:r>
            <w:proofErr w:type="spellStart"/>
            <w:r w:rsidRPr="003720B3">
              <w:rPr>
                <w:lang w:eastAsia="da-DK" w:bidi="hi-IN"/>
              </w:rPr>
              <w:t>pólývínýlklóríð</w:t>
            </w:r>
            <w:proofErr w:type="spellEnd"/>
            <w:r w:rsidRPr="003720B3">
              <w:rPr>
                <w:lang w:eastAsia="da-DK" w:bidi="hi-IN"/>
              </w:rPr>
              <w:t xml:space="preserve"> </w:t>
            </w:r>
            <w:r>
              <w:rPr>
                <w:lang w:eastAsia="da-DK" w:bidi="hi-IN"/>
              </w:rPr>
              <w:t>(</w:t>
            </w:r>
            <w:r w:rsidRPr="003720B3">
              <w:t>PVC</w:t>
            </w:r>
            <w:r>
              <w:t>)</w:t>
            </w:r>
            <w:r w:rsidRPr="003720B3">
              <w:t xml:space="preserve"> </w:t>
            </w:r>
            <w:r w:rsidRPr="003720B3">
              <w:rPr>
                <w:lang w:eastAsia="da-DK" w:bidi="hi-IN"/>
              </w:rPr>
              <w:t>eða plastefni úr öðrum tegundum klóraðra efna.</w:t>
            </w:r>
          </w:p>
        </w:tc>
      </w:tr>
      <w:tr w:rsidR="00A34F1A" w:rsidRPr="00994DE5" w:rsidTr="00A34F1A">
        <w:trPr>
          <w:trHeight w:val="850"/>
        </w:trPr>
        <w:tc>
          <w:tcPr>
            <w:tcW w:w="9180" w:type="dxa"/>
          </w:tcPr>
          <w:p w:rsidR="00A34F1A" w:rsidRPr="00845761" w:rsidRDefault="00A34F1A" w:rsidP="004D7ADB">
            <w:pPr>
              <w:pStyle w:val="Bulletpoints"/>
              <w:spacing w:line="240" w:lineRule="auto"/>
              <w:rPr>
                <w:b/>
              </w:rPr>
            </w:pPr>
            <w:r w:rsidRPr="00845761">
              <w:rPr>
                <w:b/>
              </w:rPr>
              <w:t>8. Umbúðir úr sellulósa</w:t>
            </w:r>
          </w:p>
          <w:p w:rsidR="004D7ADB" w:rsidRDefault="004D7ADB" w:rsidP="004D7ADB"/>
          <w:p w:rsidR="00A34F1A" w:rsidRPr="00A34F1A" w:rsidRDefault="00A34F1A" w:rsidP="00A34F1A">
            <w:pPr>
              <w:spacing w:line="276" w:lineRule="auto"/>
              <w:rPr>
                <w:rFonts w:cs="Times New Roman"/>
                <w:szCs w:val="24"/>
              </w:rPr>
            </w:pPr>
            <w:r w:rsidRPr="005E569B">
              <w:t>Pappír og pappi í umbúðum skal vera óbleik</w:t>
            </w:r>
            <w:r>
              <w:t>t</w:t>
            </w:r>
            <w:r w:rsidRPr="005E569B">
              <w:t>ur eða bleik</w:t>
            </w:r>
            <w:r>
              <w:t>tur</w:t>
            </w:r>
            <w:r w:rsidRPr="005E569B">
              <w:t xml:space="preserve"> án klórs, þ.e. </w:t>
            </w:r>
            <w:r>
              <w:t>með</w:t>
            </w:r>
            <w:r w:rsidRPr="005E569B">
              <w:t xml:space="preserve"> aðferðum TCF eða ECF</w:t>
            </w:r>
            <w:r>
              <w:t>.</w:t>
            </w:r>
            <w:r w:rsidRPr="005E569B">
              <w:t xml:space="preserve"> Losun AOX má ekki fara yfir 0,25 kg/tonn af pappírs</w:t>
            </w:r>
            <w:r>
              <w:t>massa</w:t>
            </w:r>
            <w:r w:rsidRPr="005E569B">
              <w:t xml:space="preserve">. </w:t>
            </w:r>
            <w:r>
              <w:t>(</w:t>
            </w:r>
            <w:r w:rsidRPr="005E569B">
              <w:t xml:space="preserve"> ECF = bleik</w:t>
            </w:r>
            <w:r>
              <w:t>t</w:t>
            </w:r>
            <w:r w:rsidRPr="005E569B">
              <w:t xml:space="preserve"> með klórdíoxíð</w:t>
            </w:r>
            <w:r>
              <w:t>;</w:t>
            </w:r>
            <w:r w:rsidRPr="005E569B">
              <w:t xml:space="preserve"> TCF = bleik</w:t>
            </w:r>
            <w:r>
              <w:t>t</w:t>
            </w:r>
            <w:r w:rsidRPr="005E569B">
              <w:t xml:space="preserve"> án efna sem innihalda klór</w:t>
            </w:r>
            <w:r>
              <w:t>;</w:t>
            </w:r>
            <w:r w:rsidRPr="005E569B">
              <w:t xml:space="preserve"> AOX = losun áseygra, lífrænna halógensambanda í framleiðsluferlinu</w:t>
            </w:r>
            <w:r>
              <w:t>).</w:t>
            </w:r>
          </w:p>
        </w:tc>
      </w:tr>
      <w:tr w:rsidR="00A34F1A" w:rsidRPr="00994DE5" w:rsidTr="004D7ADB">
        <w:trPr>
          <w:trHeight w:val="515"/>
        </w:trPr>
        <w:tc>
          <w:tcPr>
            <w:tcW w:w="9180" w:type="dxa"/>
            <w:shd w:val="clear" w:color="auto" w:fill="92D050"/>
          </w:tcPr>
          <w:p w:rsidR="00A34F1A" w:rsidRPr="00994DE5" w:rsidRDefault="00A34F1A" w:rsidP="00994DE5">
            <w:pPr>
              <w:spacing w:line="276" w:lineRule="auto"/>
            </w:pPr>
            <w:r>
              <w:rPr>
                <w:b/>
              </w:rPr>
              <w:lastRenderedPageBreak/>
              <w:t>MATSVIÐMIÐ</w:t>
            </w:r>
          </w:p>
        </w:tc>
      </w:tr>
      <w:tr w:rsidR="00A34F1A" w:rsidRPr="00994DE5" w:rsidTr="00A34F1A">
        <w:trPr>
          <w:trHeight w:val="425"/>
        </w:trPr>
        <w:tc>
          <w:tcPr>
            <w:tcW w:w="9180" w:type="dxa"/>
            <w:shd w:val="clear" w:color="auto" w:fill="FFFFFF" w:themeFill="background1"/>
          </w:tcPr>
          <w:p w:rsidR="00A34F1A" w:rsidRPr="00845761" w:rsidRDefault="00A34F1A" w:rsidP="00A34F1A">
            <w:pPr>
              <w:pStyle w:val="Bulletpoints"/>
              <w:rPr>
                <w:b/>
              </w:rPr>
            </w:pPr>
            <w:r>
              <w:rPr>
                <w:b/>
              </w:rPr>
              <w:t>1</w:t>
            </w:r>
            <w:r w:rsidRPr="00845761">
              <w:rPr>
                <w:b/>
              </w:rPr>
              <w:t>. Meðhöndlun úrgangs</w:t>
            </w:r>
          </w:p>
          <w:p w:rsidR="00A34F1A" w:rsidRPr="00B17204" w:rsidRDefault="00A34F1A" w:rsidP="00A34F1A">
            <w:pPr>
              <w:spacing w:line="276" w:lineRule="auto"/>
              <w:rPr>
                <w:b/>
                <w:i/>
              </w:rPr>
            </w:pPr>
            <w:r>
              <w:t>Seljendur skulu leggja  fram upplýsingar um ráðlagða meðhöndlun úrgangs á vörunni.</w:t>
            </w:r>
          </w:p>
        </w:tc>
      </w:tr>
      <w:tr w:rsidR="00A34F1A" w:rsidRPr="00994DE5" w:rsidTr="00A34F1A">
        <w:trPr>
          <w:trHeight w:val="425"/>
        </w:trPr>
        <w:tc>
          <w:tcPr>
            <w:tcW w:w="9180" w:type="dxa"/>
            <w:shd w:val="clear" w:color="auto" w:fill="FFFFFF" w:themeFill="background1"/>
          </w:tcPr>
          <w:p w:rsidR="00A34F1A" w:rsidRPr="00845761" w:rsidRDefault="00A34F1A" w:rsidP="00A34F1A">
            <w:pPr>
              <w:pStyle w:val="Bulletpoints"/>
              <w:rPr>
                <w:b/>
              </w:rPr>
            </w:pPr>
            <w:r>
              <w:rPr>
                <w:b/>
              </w:rPr>
              <w:t>2</w:t>
            </w:r>
            <w:r w:rsidRPr="00845761">
              <w:rPr>
                <w:b/>
              </w:rPr>
              <w:t>. Íblöndunarefni í vörunni</w:t>
            </w:r>
          </w:p>
          <w:p w:rsidR="00A34F1A" w:rsidRPr="00994DE5" w:rsidRDefault="00A34F1A" w:rsidP="00A34F1A">
            <w:pPr>
              <w:spacing w:line="276" w:lineRule="auto"/>
              <w:rPr>
                <w:b/>
              </w:rPr>
            </w:pPr>
            <w:r>
              <w:t>Í vörunni má að hámarki vera 1% efna sem eru flokkuð sem ofnæmisvaldandi ( H42 og/eða H43)  samkvæmt viðmiðum um flokkun og merkingu (tilskipun 67/548/EEC).</w:t>
            </w:r>
          </w:p>
        </w:tc>
      </w:tr>
      <w:tr w:rsidR="00A34F1A" w:rsidRPr="00994DE5" w:rsidTr="00A34F1A">
        <w:trPr>
          <w:trHeight w:val="425"/>
        </w:trPr>
        <w:tc>
          <w:tcPr>
            <w:tcW w:w="9180" w:type="dxa"/>
            <w:shd w:val="clear" w:color="auto" w:fill="FFFFFF" w:themeFill="background1"/>
          </w:tcPr>
          <w:p w:rsidR="00A34F1A" w:rsidRPr="00C16E02" w:rsidRDefault="00A34F1A" w:rsidP="00A34F1A">
            <w:pPr>
              <w:pStyle w:val="BodyText1"/>
              <w:rPr>
                <w:b/>
                <w:lang w:val="is-IS"/>
              </w:rPr>
            </w:pPr>
            <w:r>
              <w:rPr>
                <w:b/>
                <w:lang w:val="is-IS"/>
              </w:rPr>
              <w:t>3</w:t>
            </w:r>
            <w:r w:rsidRPr="00C16E02">
              <w:rPr>
                <w:b/>
                <w:lang w:val="is-IS"/>
              </w:rPr>
              <w:t>. Formaldehýð í sáraumbúðum úr textílefni</w:t>
            </w:r>
          </w:p>
          <w:p w:rsidR="00A34F1A" w:rsidRPr="00994DE5" w:rsidRDefault="00A34F1A" w:rsidP="00A34F1A">
            <w:pPr>
              <w:rPr>
                <w:b/>
              </w:rPr>
            </w:pPr>
            <w:r>
              <w:t>M</w:t>
            </w:r>
            <w:r w:rsidRPr="005E569B">
              <w:t xml:space="preserve">agn óbundins formaldehýðs eða formaldehýð sem </w:t>
            </w:r>
            <w:r>
              <w:t>er vatnsrjúfanlegt að hluta skal</w:t>
            </w:r>
            <w:r w:rsidRPr="005E569B">
              <w:t xml:space="preserve"> ekki fara yfir 30 </w:t>
            </w:r>
            <w:proofErr w:type="spellStart"/>
            <w:r>
              <w:t>ppm</w:t>
            </w:r>
            <w:proofErr w:type="spellEnd"/>
            <w:r w:rsidRPr="005E569B">
              <w:t xml:space="preserve"> ef um ræðir vörur</w:t>
            </w:r>
            <w:r>
              <w:t xml:space="preserve"> sem komast í snertingu við húð.</w:t>
            </w:r>
          </w:p>
        </w:tc>
      </w:tr>
      <w:tr w:rsidR="00A34F1A" w:rsidRPr="00994DE5" w:rsidTr="00A34F1A">
        <w:trPr>
          <w:trHeight w:val="425"/>
        </w:trPr>
        <w:tc>
          <w:tcPr>
            <w:tcW w:w="9180" w:type="dxa"/>
            <w:shd w:val="clear" w:color="auto" w:fill="FFFFFF" w:themeFill="background1"/>
          </w:tcPr>
          <w:p w:rsidR="00A34F1A" w:rsidRPr="00C16E02" w:rsidRDefault="00A34F1A" w:rsidP="00A34F1A">
            <w:pPr>
              <w:pStyle w:val="BodyText1"/>
              <w:rPr>
                <w:b/>
                <w:lang w:val="is-IS"/>
              </w:rPr>
            </w:pPr>
            <w:r>
              <w:rPr>
                <w:b/>
                <w:lang w:val="is-IS"/>
              </w:rPr>
              <w:t>4</w:t>
            </w:r>
            <w:r w:rsidRPr="00C16E02">
              <w:rPr>
                <w:b/>
                <w:lang w:val="is-IS"/>
              </w:rPr>
              <w:t>.Efni notað í lok á umbúðum</w:t>
            </w:r>
          </w:p>
          <w:p w:rsidR="00A34F1A" w:rsidRPr="00994DE5" w:rsidRDefault="00A34F1A" w:rsidP="00A34F1A">
            <w:pPr>
              <w:rPr>
                <w:b/>
              </w:rPr>
            </w:pPr>
            <w:r>
              <w:t>Innihaldse</w:t>
            </w:r>
            <w:r w:rsidRPr="00C16E02">
              <w:t>fni</w:t>
            </w:r>
            <w:r>
              <w:t xml:space="preserve"> </w:t>
            </w:r>
            <w:r w:rsidRPr="00C16E02">
              <w:t>í lok</w:t>
            </w:r>
            <w:r>
              <w:t>un</w:t>
            </w:r>
            <w:r w:rsidRPr="00C16E02">
              <w:t xml:space="preserve"> á umbúðunum (límbönd, límkennd efni o.s.frv.)</w:t>
            </w:r>
            <w:r>
              <w:t xml:space="preserve"> </w:t>
            </w:r>
            <w:r w:rsidRPr="00C16E02">
              <w:t>má ekki innihalda m</w:t>
            </w:r>
            <w:r>
              <w:t>eira</w:t>
            </w:r>
            <w:r w:rsidRPr="00C16E02">
              <w:t xml:space="preserve"> en 1% af náttúruleg</w:t>
            </w:r>
            <w:r>
              <w:t>u</w:t>
            </w:r>
            <w:r w:rsidRPr="00C16E02">
              <w:t xml:space="preserve"> gúmmílatexi.</w:t>
            </w:r>
          </w:p>
        </w:tc>
      </w:tr>
      <w:tr w:rsidR="00A34F1A" w:rsidRPr="00994DE5" w:rsidTr="004D7ADB">
        <w:trPr>
          <w:trHeight w:val="496"/>
        </w:trPr>
        <w:tc>
          <w:tcPr>
            <w:tcW w:w="9180" w:type="dxa"/>
            <w:shd w:val="clear" w:color="auto" w:fill="92D050"/>
          </w:tcPr>
          <w:p w:rsidR="00A34F1A" w:rsidRPr="00994DE5" w:rsidRDefault="00A34F1A" w:rsidP="00624B02">
            <w:pPr>
              <w:spacing w:line="276" w:lineRule="auto"/>
            </w:pPr>
            <w:r>
              <w:rPr>
                <w:b/>
              </w:rPr>
              <w:t>STAÐFESTING LÁGMARKSSKILYRÐA OG MATSVIÐMIÐA</w:t>
            </w:r>
          </w:p>
        </w:tc>
      </w:tr>
      <w:tr w:rsidR="00A34F1A" w:rsidRPr="00A34F1A" w:rsidTr="00A34F1A">
        <w:trPr>
          <w:trHeight w:val="425"/>
        </w:trPr>
        <w:tc>
          <w:tcPr>
            <w:tcW w:w="9180" w:type="dxa"/>
            <w:shd w:val="clear" w:color="auto" w:fill="FFFFFF" w:themeFill="background1"/>
          </w:tcPr>
          <w:p w:rsidR="00A34F1A" w:rsidRPr="004D7ADB" w:rsidRDefault="00A34F1A" w:rsidP="00A34F1A">
            <w:pPr>
              <w:pStyle w:val="Headline4"/>
              <w:rPr>
                <w:kern w:val="0"/>
              </w:rPr>
            </w:pPr>
            <w:r w:rsidRPr="004D7ADB">
              <w:t xml:space="preserve">Staðfestingu/vottorð má útbúa á mismunandi hátt og verða þau að vera rekjanlega til vöruinnkaupa. Öruggasti og áreiðanlegasti hátturinn er staðfesting þriðja aðila, t.d. umhverfismerki í samræmi við ISO 14024 eða umhverfisvörulýsing (EPD) í samræmi við ISO 14025. </w:t>
            </w:r>
          </w:p>
          <w:p w:rsidR="00A34F1A" w:rsidRPr="004D7ADB" w:rsidRDefault="00A34F1A" w:rsidP="00A34F1A">
            <w:pPr>
              <w:spacing w:line="276" w:lineRule="auto"/>
              <w:rPr>
                <w:b/>
              </w:rPr>
            </w:pPr>
            <w:r w:rsidRPr="004D7ADB">
              <w:t>Staðfesting getur einnig falist í eigin yfirlýsingu um gæða –eða umhverfisstjórnunarkerfi samkvæmt ISO 14021.</w:t>
            </w:r>
            <w:bookmarkStart w:id="0" w:name="_GoBack"/>
            <w:bookmarkEnd w:id="0"/>
          </w:p>
        </w:tc>
      </w:tr>
    </w:tbl>
    <w:p w:rsidR="00AD29A1" w:rsidRPr="00AD29A1" w:rsidRDefault="00AD29A1" w:rsidP="00AD29A1"/>
    <w:sectPr w:rsidR="00AD29A1" w:rsidRPr="00AD29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979" w:rsidRDefault="00980979" w:rsidP="00F51B15">
      <w:pPr>
        <w:spacing w:after="0" w:line="240" w:lineRule="auto"/>
      </w:pPr>
      <w:r>
        <w:separator/>
      </w:r>
    </w:p>
  </w:endnote>
  <w:endnote w:type="continuationSeparator" w:id="0">
    <w:p w:rsidR="00980979" w:rsidRDefault="00980979" w:rsidP="00F5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79" w:rsidRDefault="009809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79" w:rsidRPr="00F51B15" w:rsidRDefault="00980979" w:rsidP="00F51B15">
    <w:pPr>
      <w:pStyle w:val="Footer"/>
      <w:jc w:val="right"/>
      <w:rPr>
        <w:sz w:val="22"/>
      </w:rPr>
    </w:pPr>
    <w:r w:rsidRPr="00F51B15">
      <w:rPr>
        <w:noProof/>
        <w:sz w:val="22"/>
      </w:rPr>
      <w:fldChar w:fldCharType="begin"/>
    </w:r>
    <w:r w:rsidRPr="00F51B15">
      <w:rPr>
        <w:noProof/>
        <w:sz w:val="22"/>
      </w:rPr>
      <w:instrText xml:space="preserve"> PAGE  \* Arabic  \* MERGEFORMAT </w:instrText>
    </w:r>
    <w:r w:rsidRPr="00F51B15">
      <w:rPr>
        <w:noProof/>
        <w:sz w:val="22"/>
      </w:rPr>
      <w:fldChar w:fldCharType="separate"/>
    </w:r>
    <w:r w:rsidR="00081259">
      <w:rPr>
        <w:noProof/>
        <w:sz w:val="22"/>
      </w:rPr>
      <w:t>4</w:t>
    </w:r>
    <w:r w:rsidRPr="00F51B15">
      <w:rPr>
        <w:noProof/>
        <w:sz w:val="22"/>
      </w:rPr>
      <w:fldChar w:fldCharType="end"/>
    </w:r>
    <w:r w:rsidRPr="00F51B15">
      <w:rPr>
        <w:noProof/>
        <w:sz w:val="22"/>
      </w:rPr>
      <w:t xml:space="preserve"> / </w:t>
    </w:r>
    <w:r w:rsidRPr="00F51B15">
      <w:rPr>
        <w:noProof/>
        <w:sz w:val="22"/>
      </w:rPr>
      <w:fldChar w:fldCharType="begin"/>
    </w:r>
    <w:r w:rsidRPr="00F51B15">
      <w:rPr>
        <w:noProof/>
        <w:sz w:val="22"/>
      </w:rPr>
      <w:instrText xml:space="preserve"> NUMPAGES  \* Arabic  \* MERGEFORMAT </w:instrText>
    </w:r>
    <w:r w:rsidRPr="00F51B15">
      <w:rPr>
        <w:noProof/>
        <w:sz w:val="22"/>
      </w:rPr>
      <w:fldChar w:fldCharType="separate"/>
    </w:r>
    <w:r w:rsidR="00081259">
      <w:rPr>
        <w:noProof/>
        <w:sz w:val="22"/>
      </w:rPr>
      <w:t>4</w:t>
    </w:r>
    <w:r w:rsidRPr="00F51B15">
      <w:rPr>
        <w:noProof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79" w:rsidRDefault="009809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979" w:rsidRDefault="00980979" w:rsidP="00F51B15">
      <w:pPr>
        <w:spacing w:after="0" w:line="240" w:lineRule="auto"/>
      </w:pPr>
      <w:r>
        <w:separator/>
      </w:r>
    </w:p>
  </w:footnote>
  <w:footnote w:type="continuationSeparator" w:id="0">
    <w:p w:rsidR="00980979" w:rsidRDefault="00980979" w:rsidP="00F51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79" w:rsidRDefault="009809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79" w:rsidRDefault="00980979">
    <w:pPr>
      <w:pStyle w:val="Header"/>
      <w:rPr>
        <w:color w:val="808080" w:themeColor="background1" w:themeShade="80"/>
      </w:rPr>
    </w:pPr>
    <w:r>
      <w:rPr>
        <w:noProof/>
        <w:color w:val="808080" w:themeColor="background1" w:themeShade="80"/>
        <w:lang w:eastAsia="is-IS"/>
      </w:rPr>
      <w:drawing>
        <wp:inline distT="0" distB="0" distL="0" distR="0" wp14:anchorId="3143FFA6" wp14:editId="18B341DF">
          <wp:extent cx="1282535" cy="474234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g texti VISTVÆN INNKA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537" cy="474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979" w:rsidRPr="000A49FB" w:rsidRDefault="00980979">
    <w:pPr>
      <w:pStyle w:val="Header"/>
      <w:rPr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79" w:rsidRDefault="009809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E9A"/>
    <w:multiLevelType w:val="hybridMultilevel"/>
    <w:tmpl w:val="2E8878DA"/>
    <w:lvl w:ilvl="0" w:tplc="15D86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16878"/>
    <w:multiLevelType w:val="hybridMultilevel"/>
    <w:tmpl w:val="379A947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77D72"/>
    <w:multiLevelType w:val="hybridMultilevel"/>
    <w:tmpl w:val="D16478BC"/>
    <w:lvl w:ilvl="0" w:tplc="C91A5E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E2B0B"/>
    <w:multiLevelType w:val="hybridMultilevel"/>
    <w:tmpl w:val="5E567D02"/>
    <w:lvl w:ilvl="0" w:tplc="989C1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0375A3"/>
    <w:multiLevelType w:val="hybridMultilevel"/>
    <w:tmpl w:val="9370944A"/>
    <w:lvl w:ilvl="0" w:tplc="9A401E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4490"/>
    <w:multiLevelType w:val="hybridMultilevel"/>
    <w:tmpl w:val="3A4616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1387B"/>
    <w:multiLevelType w:val="hybridMultilevel"/>
    <w:tmpl w:val="68725138"/>
    <w:lvl w:ilvl="0" w:tplc="989C1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B2507D"/>
    <w:multiLevelType w:val="hybridMultilevel"/>
    <w:tmpl w:val="324C0D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84281"/>
    <w:multiLevelType w:val="hybridMultilevel"/>
    <w:tmpl w:val="9370944A"/>
    <w:lvl w:ilvl="0" w:tplc="9A401E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95BE0"/>
    <w:multiLevelType w:val="hybridMultilevel"/>
    <w:tmpl w:val="BB88FB40"/>
    <w:lvl w:ilvl="0" w:tplc="50CAABE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2411C"/>
    <w:multiLevelType w:val="hybridMultilevel"/>
    <w:tmpl w:val="F27C3D6A"/>
    <w:lvl w:ilvl="0" w:tplc="87F6628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66571"/>
    <w:multiLevelType w:val="hybridMultilevel"/>
    <w:tmpl w:val="7D86184E"/>
    <w:lvl w:ilvl="0" w:tplc="989C15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42DC3"/>
    <w:multiLevelType w:val="hybridMultilevel"/>
    <w:tmpl w:val="038A07A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13DCF"/>
    <w:multiLevelType w:val="hybridMultilevel"/>
    <w:tmpl w:val="F990BDB8"/>
    <w:lvl w:ilvl="0" w:tplc="9826642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E592F"/>
    <w:multiLevelType w:val="multilevel"/>
    <w:tmpl w:val="040F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68316E73"/>
    <w:multiLevelType w:val="hybridMultilevel"/>
    <w:tmpl w:val="7D86184E"/>
    <w:lvl w:ilvl="0" w:tplc="989C15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C10E7"/>
    <w:multiLevelType w:val="hybridMultilevel"/>
    <w:tmpl w:val="725218D2"/>
    <w:lvl w:ilvl="0" w:tplc="7062F27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3"/>
  </w:num>
  <w:num w:numId="5">
    <w:abstractNumId w:val="6"/>
  </w:num>
  <w:num w:numId="6">
    <w:abstractNumId w:val="2"/>
  </w:num>
  <w:num w:numId="7">
    <w:abstractNumId w:val="10"/>
  </w:num>
  <w:num w:numId="8">
    <w:abstractNumId w:val="16"/>
  </w:num>
  <w:num w:numId="9">
    <w:abstractNumId w:val="15"/>
  </w:num>
  <w:num w:numId="10">
    <w:abstractNumId w:val="11"/>
  </w:num>
  <w:num w:numId="11">
    <w:abstractNumId w:val="9"/>
  </w:num>
  <w:num w:numId="12">
    <w:abstractNumId w:val="13"/>
  </w:num>
  <w:num w:numId="13">
    <w:abstractNumId w:val="4"/>
  </w:num>
  <w:num w:numId="14">
    <w:abstractNumId w:val="8"/>
  </w:num>
  <w:num w:numId="15">
    <w:abstractNumId w:val="7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D8"/>
    <w:rsid w:val="00081259"/>
    <w:rsid w:val="000A49FB"/>
    <w:rsid w:val="000D4301"/>
    <w:rsid w:val="002A0F11"/>
    <w:rsid w:val="002F57F8"/>
    <w:rsid w:val="003373AF"/>
    <w:rsid w:val="004D7ADB"/>
    <w:rsid w:val="00624EED"/>
    <w:rsid w:val="006A7278"/>
    <w:rsid w:val="007566D8"/>
    <w:rsid w:val="007D3928"/>
    <w:rsid w:val="00957923"/>
    <w:rsid w:val="00980979"/>
    <w:rsid w:val="00994DE5"/>
    <w:rsid w:val="00A34F1A"/>
    <w:rsid w:val="00AC62B2"/>
    <w:rsid w:val="00AD29A1"/>
    <w:rsid w:val="00B17204"/>
    <w:rsid w:val="00BA286C"/>
    <w:rsid w:val="00DA346D"/>
    <w:rsid w:val="00E0637C"/>
    <w:rsid w:val="00F404FF"/>
    <w:rsid w:val="00F43E05"/>
    <w:rsid w:val="00F5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15"/>
    <w:pPr>
      <w:spacing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9FB"/>
    <w:pPr>
      <w:keepNext/>
      <w:keepLines/>
      <w:numPr>
        <w:numId w:val="1"/>
      </w:numPr>
      <w:pBdr>
        <w:top w:val="single" w:sz="4" w:space="1" w:color="808080" w:themeColor="background1" w:themeShade="80"/>
        <w:bottom w:val="single" w:sz="4" w:space="1" w:color="808080" w:themeColor="background1" w:themeShade="80"/>
      </w:pBdr>
      <w:spacing w:before="480" w:after="240"/>
      <w:ind w:left="431" w:hanging="431"/>
      <w:outlineLvl w:val="0"/>
    </w:pPr>
    <w:rPr>
      <w:rFonts w:eastAsiaTheme="majorEastAsia" w:cstheme="majorBidi"/>
      <w:b/>
      <w:bCs/>
      <w:small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6D8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66D8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Cs/>
      <w:smallCap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6D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6D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6D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6D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6D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6D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9FB"/>
    <w:rPr>
      <w:rFonts w:ascii="Times New Roman" w:eastAsiaTheme="majorEastAsia" w:hAnsi="Times New Roman" w:cstheme="majorBidi"/>
      <w:b/>
      <w:bCs/>
      <w:small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66D8"/>
    <w:rPr>
      <w:rFonts w:ascii="Times New Roman" w:eastAsiaTheme="majorEastAsia" w:hAnsi="Times New Roman" w:cstheme="majorBidi"/>
      <w:b/>
      <w:bCs/>
      <w:small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66D8"/>
    <w:rPr>
      <w:rFonts w:ascii="Times New Roman" w:eastAsiaTheme="majorEastAsia" w:hAnsi="Times New Roman" w:cstheme="majorBidi"/>
      <w:bCs/>
      <w:smallCap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66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6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66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6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66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66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B1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5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B15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51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ill">
    <w:name w:val="Titill"/>
    <w:basedOn w:val="Normal"/>
    <w:qFormat/>
    <w:rsid w:val="00B17204"/>
    <w:pPr>
      <w:spacing w:before="120" w:line="240" w:lineRule="auto"/>
    </w:pPr>
    <w:rPr>
      <w:b/>
      <w:smallCaps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7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0F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46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94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94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DE5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4DE5"/>
    <w:rPr>
      <w:vertAlign w:val="superscript"/>
    </w:rPr>
  </w:style>
  <w:style w:type="paragraph" w:customStyle="1" w:styleId="BodyText1">
    <w:name w:val="Body Text1"/>
    <w:link w:val="BodytextTegn"/>
    <w:autoRedefine/>
    <w:rsid w:val="00A34F1A"/>
    <w:pPr>
      <w:spacing w:before="120" w:after="0" w:line="280" w:lineRule="exact"/>
      <w:ind w:right="62"/>
    </w:pPr>
    <w:rPr>
      <w:rFonts w:ascii="Times New Roman" w:eastAsia="Times New Roman" w:hAnsi="Times New Roman" w:cs="Times New Roman"/>
      <w:sz w:val="24"/>
      <w:lang w:val="en-GB" w:eastAsia="da-DK" w:bidi="hi-IN"/>
    </w:rPr>
  </w:style>
  <w:style w:type="character" w:customStyle="1" w:styleId="BodytextTegn">
    <w:name w:val="Body text Tegn"/>
    <w:basedOn w:val="DefaultParagraphFont"/>
    <w:link w:val="BodyText1"/>
    <w:rsid w:val="00A34F1A"/>
    <w:rPr>
      <w:rFonts w:ascii="Times New Roman" w:eastAsia="Times New Roman" w:hAnsi="Times New Roman" w:cs="Times New Roman"/>
      <w:sz w:val="24"/>
      <w:lang w:val="en-GB" w:eastAsia="da-DK" w:bidi="hi-IN"/>
    </w:rPr>
  </w:style>
  <w:style w:type="paragraph" w:customStyle="1" w:styleId="Bulletpoints">
    <w:name w:val="Bullet points"/>
    <w:basedOn w:val="BodyText1"/>
    <w:autoRedefine/>
    <w:rsid w:val="00A34F1A"/>
    <w:pPr>
      <w:suppressAutoHyphens/>
    </w:pPr>
    <w:rPr>
      <w:szCs w:val="24"/>
      <w:lang w:val="is-IS"/>
    </w:rPr>
  </w:style>
  <w:style w:type="character" w:customStyle="1" w:styleId="BulletpointstekstiChar">
    <w:name w:val="Bullet points teksti Char"/>
    <w:basedOn w:val="DefaultParagraphFont"/>
    <w:rsid w:val="00A34F1A"/>
    <w:rPr>
      <w:color w:val="000000"/>
      <w:sz w:val="22"/>
      <w:lang w:val="en-GB" w:eastAsia="da-DK" w:bidi="ar-SA"/>
    </w:rPr>
  </w:style>
  <w:style w:type="paragraph" w:customStyle="1" w:styleId="Headline4">
    <w:name w:val="Headline 4"/>
    <w:next w:val="BodyText1"/>
    <w:autoRedefine/>
    <w:rsid w:val="00A34F1A"/>
    <w:pPr>
      <w:tabs>
        <w:tab w:val="left" w:pos="680"/>
        <w:tab w:val="left" w:pos="5700"/>
      </w:tabs>
      <w:suppressAutoHyphens/>
      <w:spacing w:before="120" w:after="120" w:line="280" w:lineRule="exact"/>
    </w:pPr>
    <w:rPr>
      <w:rFonts w:ascii="Times New Roman" w:eastAsia="Times New Roman" w:hAnsi="Times New Roman" w:cs="Times New Roman"/>
      <w:kern w:val="32"/>
      <w:sz w:val="24"/>
      <w:szCs w:val="24"/>
      <w:lang w:eastAsia="da-DK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15"/>
    <w:pPr>
      <w:spacing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9FB"/>
    <w:pPr>
      <w:keepNext/>
      <w:keepLines/>
      <w:numPr>
        <w:numId w:val="1"/>
      </w:numPr>
      <w:pBdr>
        <w:top w:val="single" w:sz="4" w:space="1" w:color="808080" w:themeColor="background1" w:themeShade="80"/>
        <w:bottom w:val="single" w:sz="4" w:space="1" w:color="808080" w:themeColor="background1" w:themeShade="80"/>
      </w:pBdr>
      <w:spacing w:before="480" w:after="240"/>
      <w:ind w:left="431" w:hanging="431"/>
      <w:outlineLvl w:val="0"/>
    </w:pPr>
    <w:rPr>
      <w:rFonts w:eastAsiaTheme="majorEastAsia" w:cstheme="majorBidi"/>
      <w:b/>
      <w:bCs/>
      <w:small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6D8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66D8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Cs/>
      <w:smallCap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6D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6D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6D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6D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6D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6D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9FB"/>
    <w:rPr>
      <w:rFonts w:ascii="Times New Roman" w:eastAsiaTheme="majorEastAsia" w:hAnsi="Times New Roman" w:cstheme="majorBidi"/>
      <w:b/>
      <w:bCs/>
      <w:small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66D8"/>
    <w:rPr>
      <w:rFonts w:ascii="Times New Roman" w:eastAsiaTheme="majorEastAsia" w:hAnsi="Times New Roman" w:cstheme="majorBidi"/>
      <w:b/>
      <w:bCs/>
      <w:small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66D8"/>
    <w:rPr>
      <w:rFonts w:ascii="Times New Roman" w:eastAsiaTheme="majorEastAsia" w:hAnsi="Times New Roman" w:cstheme="majorBidi"/>
      <w:bCs/>
      <w:smallCap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66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6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66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6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66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66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B1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5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B15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51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ill">
    <w:name w:val="Titill"/>
    <w:basedOn w:val="Normal"/>
    <w:qFormat/>
    <w:rsid w:val="00B17204"/>
    <w:pPr>
      <w:spacing w:before="120" w:line="240" w:lineRule="auto"/>
    </w:pPr>
    <w:rPr>
      <w:b/>
      <w:smallCaps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7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0F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46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94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94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DE5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4DE5"/>
    <w:rPr>
      <w:vertAlign w:val="superscript"/>
    </w:rPr>
  </w:style>
  <w:style w:type="paragraph" w:customStyle="1" w:styleId="BodyText1">
    <w:name w:val="Body Text1"/>
    <w:link w:val="BodytextTegn"/>
    <w:autoRedefine/>
    <w:rsid w:val="00A34F1A"/>
    <w:pPr>
      <w:spacing w:before="120" w:after="0" w:line="280" w:lineRule="exact"/>
      <w:ind w:right="62"/>
    </w:pPr>
    <w:rPr>
      <w:rFonts w:ascii="Times New Roman" w:eastAsia="Times New Roman" w:hAnsi="Times New Roman" w:cs="Times New Roman"/>
      <w:sz w:val="24"/>
      <w:lang w:val="en-GB" w:eastAsia="da-DK" w:bidi="hi-IN"/>
    </w:rPr>
  </w:style>
  <w:style w:type="character" w:customStyle="1" w:styleId="BodytextTegn">
    <w:name w:val="Body text Tegn"/>
    <w:basedOn w:val="DefaultParagraphFont"/>
    <w:link w:val="BodyText1"/>
    <w:rsid w:val="00A34F1A"/>
    <w:rPr>
      <w:rFonts w:ascii="Times New Roman" w:eastAsia="Times New Roman" w:hAnsi="Times New Roman" w:cs="Times New Roman"/>
      <w:sz w:val="24"/>
      <w:lang w:val="en-GB" w:eastAsia="da-DK" w:bidi="hi-IN"/>
    </w:rPr>
  </w:style>
  <w:style w:type="paragraph" w:customStyle="1" w:styleId="Bulletpoints">
    <w:name w:val="Bullet points"/>
    <w:basedOn w:val="BodyText1"/>
    <w:autoRedefine/>
    <w:rsid w:val="00A34F1A"/>
    <w:pPr>
      <w:suppressAutoHyphens/>
    </w:pPr>
    <w:rPr>
      <w:szCs w:val="24"/>
      <w:lang w:val="is-IS"/>
    </w:rPr>
  </w:style>
  <w:style w:type="character" w:customStyle="1" w:styleId="BulletpointstekstiChar">
    <w:name w:val="Bullet points teksti Char"/>
    <w:basedOn w:val="DefaultParagraphFont"/>
    <w:rsid w:val="00A34F1A"/>
    <w:rPr>
      <w:color w:val="000000"/>
      <w:sz w:val="22"/>
      <w:lang w:val="en-GB" w:eastAsia="da-DK" w:bidi="ar-SA"/>
    </w:rPr>
  </w:style>
  <w:style w:type="paragraph" w:customStyle="1" w:styleId="Headline4">
    <w:name w:val="Headline 4"/>
    <w:next w:val="BodyText1"/>
    <w:autoRedefine/>
    <w:rsid w:val="00A34F1A"/>
    <w:pPr>
      <w:tabs>
        <w:tab w:val="left" w:pos="680"/>
        <w:tab w:val="left" w:pos="5700"/>
      </w:tabs>
      <w:suppressAutoHyphens/>
      <w:spacing w:before="120" w:after="120" w:line="280" w:lineRule="exact"/>
    </w:pPr>
    <w:rPr>
      <w:rFonts w:ascii="Times New Roman" w:eastAsia="Times New Roman" w:hAnsi="Times New Roman" w:cs="Times New Roman"/>
      <w:kern w:val="32"/>
      <w:sz w:val="24"/>
      <w:szCs w:val="24"/>
      <w:lang w:eastAsia="da-DK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n.i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Alta ehf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Alta</cp:lastModifiedBy>
  <cp:revision>8</cp:revision>
  <cp:lastPrinted>2012-08-01T12:00:00Z</cp:lastPrinted>
  <dcterms:created xsi:type="dcterms:W3CDTF">2012-07-31T16:27:00Z</dcterms:created>
  <dcterms:modified xsi:type="dcterms:W3CDTF">2012-08-01T12:00:00Z</dcterms:modified>
</cp:coreProperties>
</file>