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448"/>
        <w:gridCol w:w="1276"/>
        <w:gridCol w:w="1418"/>
      </w:tblGrid>
      <w:tr w:rsidR="00F51B15" w:rsidRPr="00AF11B2" w:rsidTr="00692497">
        <w:trPr>
          <w:trHeight w:val="680"/>
        </w:trPr>
        <w:tc>
          <w:tcPr>
            <w:tcW w:w="11448" w:type="dxa"/>
            <w:vMerge w:val="restart"/>
            <w:vAlign w:val="center"/>
          </w:tcPr>
          <w:p w:rsidR="00F51B15" w:rsidRPr="000A49FB" w:rsidRDefault="00F51B15" w:rsidP="000A49FB">
            <w:pPr>
              <w:pStyle w:val="Titill"/>
            </w:pPr>
            <w:r w:rsidRPr="000A49FB">
              <w:t>Upplýsingatæknibúnaður - umhverfisskilyrði</w:t>
            </w:r>
          </w:p>
        </w:tc>
        <w:tc>
          <w:tcPr>
            <w:tcW w:w="1276" w:type="dxa"/>
            <w:vAlign w:val="bottom"/>
          </w:tcPr>
          <w:p w:rsidR="00F51B15" w:rsidRDefault="00F51B15">
            <w:r>
              <w:t>Dags.</w:t>
            </w:r>
          </w:p>
        </w:tc>
        <w:tc>
          <w:tcPr>
            <w:tcW w:w="1418" w:type="dxa"/>
            <w:vAlign w:val="bottom"/>
          </w:tcPr>
          <w:p w:rsidR="00F51B15" w:rsidRPr="00AF11B2" w:rsidRDefault="00F51B15" w:rsidP="003F0DF5">
            <w:pPr>
              <w:jc w:val="right"/>
              <w:rPr>
                <w:highlight w:val="yellow"/>
              </w:rPr>
            </w:pPr>
            <w:r w:rsidRPr="00692497">
              <w:t>201</w:t>
            </w:r>
            <w:r w:rsidR="00AF11B2" w:rsidRPr="00692497">
              <w:t>2</w:t>
            </w:r>
            <w:r w:rsidRPr="00692497">
              <w:t>-</w:t>
            </w:r>
            <w:r w:rsidR="00AF11B2" w:rsidRPr="00692497">
              <w:t>0</w:t>
            </w:r>
            <w:r w:rsidR="00692497">
              <w:t>8</w:t>
            </w:r>
            <w:r w:rsidRPr="00692497">
              <w:t>-</w:t>
            </w:r>
            <w:r w:rsidR="003F0DF5">
              <w:t>10</w:t>
            </w:r>
          </w:p>
        </w:tc>
      </w:tr>
      <w:tr w:rsidR="00F51B15" w:rsidTr="00692497">
        <w:trPr>
          <w:trHeight w:val="680"/>
        </w:trPr>
        <w:tc>
          <w:tcPr>
            <w:tcW w:w="11448" w:type="dxa"/>
            <w:vMerge/>
            <w:vAlign w:val="center"/>
          </w:tcPr>
          <w:p w:rsidR="00F51B15" w:rsidRDefault="00F51B15"/>
        </w:tc>
        <w:tc>
          <w:tcPr>
            <w:tcW w:w="1276" w:type="dxa"/>
            <w:vAlign w:val="bottom"/>
          </w:tcPr>
          <w:p w:rsidR="00F51B15" w:rsidRDefault="00F51B15">
            <w:r>
              <w:t>Útgáfa</w:t>
            </w:r>
          </w:p>
        </w:tc>
        <w:tc>
          <w:tcPr>
            <w:tcW w:w="1418" w:type="dxa"/>
            <w:vAlign w:val="bottom"/>
          </w:tcPr>
          <w:p w:rsidR="00F51B15" w:rsidRDefault="00AF11B2" w:rsidP="000A49FB">
            <w:pPr>
              <w:jc w:val="right"/>
            </w:pPr>
            <w:r>
              <w:t>2</w:t>
            </w:r>
            <w:r w:rsidR="000A49FB">
              <w:t>.0</w:t>
            </w:r>
          </w:p>
        </w:tc>
      </w:tr>
    </w:tbl>
    <w:p w:rsidR="003373AF" w:rsidRDefault="003373AF"/>
    <w:p w:rsidR="007566D8" w:rsidRPr="00F51B15" w:rsidRDefault="000A49FB" w:rsidP="00692497">
      <w:pPr>
        <w:pStyle w:val="Heading1"/>
        <w:numPr>
          <w:ilvl w:val="0"/>
          <w:numId w:val="0"/>
        </w:numPr>
        <w:ind w:left="431" w:hanging="431"/>
      </w:pPr>
      <w:r>
        <w:t>V</w:t>
      </w:r>
      <w:r w:rsidR="007566D8" w:rsidRPr="00F51B15">
        <w:t>iðfangsefni og gildissvið</w:t>
      </w:r>
    </w:p>
    <w:p w:rsidR="00AF11B2" w:rsidRDefault="00AF11B2" w:rsidP="00AF11B2">
      <w:r>
        <w:t xml:space="preserve">Umhverfisskilyrðin eru sett fram á vegum verkefnisins Vistvæn innkaup sem er samstarfsverkefni ríkis og sveitarfélaga, sjá nánar á </w:t>
      </w:r>
      <w:hyperlink r:id="rId9" w:history="1">
        <w:r w:rsidRPr="00E06B88">
          <w:rPr>
            <w:rStyle w:val="Hyperlink"/>
          </w:rPr>
          <w:t>www.vinn.is</w:t>
        </w:r>
      </w:hyperlink>
      <w:r>
        <w:t xml:space="preserve">. </w:t>
      </w:r>
    </w:p>
    <w:p w:rsidR="00AF11B2" w:rsidRDefault="00AF11B2" w:rsidP="00AF11B2">
      <w:r>
        <w:t>Umhverfisskilyrðin eru</w:t>
      </w:r>
      <w:r w:rsidRPr="00DD1129">
        <w:t xml:space="preserve"> byggð á viðmiðum framkvæmdastjórnar ESB um vistvæn innkaup, EC GPP </w:t>
      </w:r>
      <w:proofErr w:type="spellStart"/>
      <w:r w:rsidRPr="00DD1129">
        <w:t>Training</w:t>
      </w:r>
      <w:proofErr w:type="spellEnd"/>
      <w:r w:rsidRPr="00DD1129">
        <w:t xml:space="preserve"> </w:t>
      </w:r>
      <w:proofErr w:type="spellStart"/>
      <w:r w:rsidRPr="00DD1129">
        <w:t>Toolkit</w:t>
      </w:r>
      <w:proofErr w:type="spellEnd"/>
      <w:r>
        <w:t xml:space="preserve">, </w:t>
      </w:r>
      <w:hyperlink r:id="rId10" w:history="1">
        <w:r w:rsidRPr="00C958E2">
          <w:rPr>
            <w:rStyle w:val="Hyperlink"/>
          </w:rPr>
          <w:t>http://ec.europa.eu/environment/gpp/toolkit_en.htm</w:t>
        </w:r>
      </w:hyperlink>
      <w:r>
        <w:t>.</w:t>
      </w:r>
    </w:p>
    <w:p w:rsidR="00AF11B2" w:rsidRDefault="00AF11B2" w:rsidP="00AF11B2">
      <w:r w:rsidRPr="000B4048">
        <w:t>Þe</w:t>
      </w:r>
      <w:r>
        <w:t>ssi skilyrði</w:t>
      </w:r>
      <w:r w:rsidRPr="000B4048">
        <w:t xml:space="preserve"> fjalla um innkaup á </w:t>
      </w:r>
      <w:r>
        <w:t xml:space="preserve">tölvum </w:t>
      </w:r>
      <w:r w:rsidRPr="00A4696C">
        <w:t xml:space="preserve">og </w:t>
      </w:r>
      <w:proofErr w:type="spellStart"/>
      <w:r w:rsidR="003837AA" w:rsidRPr="00A4696C">
        <w:t>skjá</w:t>
      </w:r>
      <w:r w:rsidR="00A4696C" w:rsidRPr="00A4696C">
        <w:t>m</w:t>
      </w:r>
      <w:proofErr w:type="spellEnd"/>
      <w:r w:rsidRPr="00A4696C">
        <w:t xml:space="preserve"> (e. </w:t>
      </w:r>
      <w:proofErr w:type="spellStart"/>
      <w:r w:rsidR="00B87B11">
        <w:t>m</w:t>
      </w:r>
      <w:r w:rsidRPr="00A4696C">
        <w:t>onitors</w:t>
      </w:r>
      <w:proofErr w:type="spellEnd"/>
      <w:r>
        <w:t xml:space="preserve">) og taka </w:t>
      </w:r>
      <w:r w:rsidRPr="000B4048">
        <w:t>til eftirfarandi</w:t>
      </w:r>
      <w:r w:rsidR="00A4696C">
        <w:t xml:space="preserve"> sex flokka</w:t>
      </w:r>
      <w:r w:rsidRPr="000B4048">
        <w:t xml:space="preserve">: </w:t>
      </w:r>
    </w:p>
    <w:p w:rsidR="00AF11B2" w:rsidRPr="00D43523" w:rsidRDefault="00000E76" w:rsidP="00000E76">
      <w:pPr>
        <w:pStyle w:val="ListParagraph"/>
        <w:numPr>
          <w:ilvl w:val="0"/>
          <w:numId w:val="4"/>
        </w:numPr>
      </w:pPr>
      <w:r w:rsidRPr="00D43523">
        <w:t>Einkatölv</w:t>
      </w:r>
      <w:r w:rsidR="00A4696C">
        <w:t>a</w:t>
      </w:r>
      <w:r w:rsidR="00AF11B2" w:rsidRPr="00D43523">
        <w:t xml:space="preserve"> (</w:t>
      </w:r>
      <w:r w:rsidR="00A4696C">
        <w:t>b</w:t>
      </w:r>
      <w:r w:rsidRPr="00D43523">
        <w:t xml:space="preserve">orðtölva, innbyggð borðtölva, </w:t>
      </w:r>
      <w:r w:rsidR="004A0DED">
        <w:t>þunnildi)</w:t>
      </w:r>
    </w:p>
    <w:p w:rsidR="00AF11B2" w:rsidRPr="00D43523" w:rsidRDefault="00000E76" w:rsidP="00AF11B2">
      <w:pPr>
        <w:pStyle w:val="ListParagraph"/>
        <w:numPr>
          <w:ilvl w:val="0"/>
          <w:numId w:val="4"/>
        </w:numPr>
      </w:pPr>
      <w:r w:rsidRPr="00D43523">
        <w:t xml:space="preserve">Tölvuskjár </w:t>
      </w:r>
      <w:r w:rsidR="00AF11B2" w:rsidRPr="00D43523">
        <w:t>(</w:t>
      </w:r>
      <w:r w:rsidR="00A4696C">
        <w:t xml:space="preserve">ef fylgir </w:t>
      </w:r>
      <w:r w:rsidR="001126E0" w:rsidRPr="00D43523">
        <w:t>tölvu</w:t>
      </w:r>
      <w:r w:rsidR="00AF11B2" w:rsidRPr="00D43523">
        <w:t xml:space="preserve">) </w:t>
      </w:r>
    </w:p>
    <w:p w:rsidR="00AF11B2" w:rsidRPr="00D43523" w:rsidRDefault="001126E0" w:rsidP="00AF11B2">
      <w:pPr>
        <w:pStyle w:val="ListParagraph"/>
        <w:numPr>
          <w:ilvl w:val="0"/>
          <w:numId w:val="4"/>
        </w:numPr>
      </w:pPr>
      <w:r w:rsidRPr="00D43523">
        <w:t xml:space="preserve">Lyklaborð </w:t>
      </w:r>
      <w:r w:rsidR="00AF11B2" w:rsidRPr="00D43523">
        <w:t>(</w:t>
      </w:r>
      <w:r w:rsidR="00A4696C">
        <w:t>ef fylgir</w:t>
      </w:r>
      <w:r w:rsidRPr="00D43523">
        <w:t xml:space="preserve"> tölvu</w:t>
      </w:r>
      <w:r w:rsidR="00AF11B2" w:rsidRPr="00D43523">
        <w:t xml:space="preserve">) </w:t>
      </w:r>
    </w:p>
    <w:p w:rsidR="00AF11B2" w:rsidRPr="00D43523" w:rsidRDefault="001126E0" w:rsidP="00AF11B2">
      <w:pPr>
        <w:pStyle w:val="ListParagraph"/>
        <w:numPr>
          <w:ilvl w:val="0"/>
          <w:numId w:val="4"/>
        </w:numPr>
      </w:pPr>
      <w:r w:rsidRPr="00D43523">
        <w:t>Ytri aflgjafi</w:t>
      </w:r>
      <w:r w:rsidR="00AF11B2" w:rsidRPr="00D43523">
        <w:t xml:space="preserve"> (</w:t>
      </w:r>
      <w:r w:rsidR="00A4696C">
        <w:t>ef fylgir</w:t>
      </w:r>
      <w:r w:rsidRPr="00D43523">
        <w:t xml:space="preserve"> tölvu</w:t>
      </w:r>
      <w:r w:rsidR="00AF11B2" w:rsidRPr="00D43523">
        <w:t xml:space="preserve">) </w:t>
      </w:r>
    </w:p>
    <w:p w:rsidR="00AF11B2" w:rsidRPr="00DF7FCE" w:rsidRDefault="001126E0" w:rsidP="00AF11B2">
      <w:pPr>
        <w:pStyle w:val="ListParagraph"/>
        <w:numPr>
          <w:ilvl w:val="0"/>
          <w:numId w:val="4"/>
        </w:numPr>
      </w:pPr>
      <w:r w:rsidRPr="00DF7FCE">
        <w:t>Fistölva</w:t>
      </w:r>
      <w:r w:rsidR="00AF11B2" w:rsidRPr="00DF7FCE">
        <w:t xml:space="preserve"> (</w:t>
      </w:r>
      <w:r w:rsidR="0088779F" w:rsidRPr="00DF7FCE">
        <w:t xml:space="preserve">spjaldtölvur </w:t>
      </w:r>
      <w:r w:rsidRPr="00DF7FCE">
        <w:t>meðtaldar</w:t>
      </w:r>
      <w:r w:rsidR="00A4696C" w:rsidRPr="00DF7FCE">
        <w:t>)</w:t>
      </w:r>
      <w:r w:rsidR="00AF11B2" w:rsidRPr="00DF7FCE">
        <w:t xml:space="preserve"> </w:t>
      </w:r>
    </w:p>
    <w:p w:rsidR="00AF11B2" w:rsidRPr="00DF7FCE" w:rsidRDefault="0088779F" w:rsidP="00AF11B2">
      <w:pPr>
        <w:pStyle w:val="ListParagraph"/>
        <w:numPr>
          <w:ilvl w:val="0"/>
          <w:numId w:val="4"/>
        </w:numPr>
      </w:pPr>
      <w:r w:rsidRPr="00DF7FCE">
        <w:t>Stakstæðar myndvinnslueiningar (</w:t>
      </w:r>
      <w:r w:rsidR="003F0DF5">
        <w:t xml:space="preserve">e. </w:t>
      </w:r>
      <w:proofErr w:type="spellStart"/>
      <w:r w:rsidR="003F0DF5">
        <w:t>d</w:t>
      </w:r>
      <w:r w:rsidR="00AF11B2" w:rsidRPr="00DF7FCE">
        <w:t>iscrete</w:t>
      </w:r>
      <w:proofErr w:type="spellEnd"/>
      <w:r w:rsidR="00AF11B2" w:rsidRPr="00DF7FCE">
        <w:t xml:space="preserve"> </w:t>
      </w:r>
      <w:proofErr w:type="spellStart"/>
      <w:r w:rsidR="00AF11B2" w:rsidRPr="00DF7FCE">
        <w:t>graphics</w:t>
      </w:r>
      <w:proofErr w:type="spellEnd"/>
      <w:r w:rsidR="00AF11B2" w:rsidRPr="00DF7FCE">
        <w:t xml:space="preserve"> </w:t>
      </w:r>
      <w:proofErr w:type="spellStart"/>
      <w:r w:rsidR="00AF11B2" w:rsidRPr="00DF7FCE">
        <w:t>processing</w:t>
      </w:r>
      <w:proofErr w:type="spellEnd"/>
      <w:r w:rsidR="00AF11B2" w:rsidRPr="00DF7FCE">
        <w:t xml:space="preserve"> </w:t>
      </w:r>
      <w:proofErr w:type="spellStart"/>
      <w:r w:rsidR="00AF11B2" w:rsidRPr="00DF7FCE">
        <w:t>unit</w:t>
      </w:r>
      <w:proofErr w:type="spellEnd"/>
      <w:r w:rsidRPr="00DF7FCE">
        <w:t>)</w:t>
      </w:r>
      <w:r w:rsidR="00AF11B2" w:rsidRPr="00DF7FCE">
        <w:t xml:space="preserve"> (</w:t>
      </w:r>
      <w:r w:rsidRPr="00DF7FCE">
        <w:t>ef fylgir tölvu</w:t>
      </w:r>
      <w:r w:rsidR="00AF11B2" w:rsidRPr="00DF7FCE">
        <w:t>)</w:t>
      </w:r>
    </w:p>
    <w:p w:rsidR="00692497" w:rsidRPr="00DD1129" w:rsidRDefault="00692497" w:rsidP="00692497">
      <w:r>
        <w:t>Umhverfisskilyrðin</w:t>
      </w:r>
      <w:r w:rsidRPr="00DD1129">
        <w:t xml:space="preserve"> skiptast í grunnviðmið og ítarviðmið</w:t>
      </w:r>
      <w:r>
        <w:t>. Við gerð útboðsgagna er hægt að nýta annað hvort grunn- eða ítarviðmiðin:</w:t>
      </w:r>
    </w:p>
    <w:p w:rsidR="00692497" w:rsidRDefault="00692497" w:rsidP="00692497">
      <w:pPr>
        <w:pStyle w:val="ListParagraph"/>
        <w:numPr>
          <w:ilvl w:val="0"/>
          <w:numId w:val="14"/>
        </w:numPr>
      </w:pPr>
      <w:r w:rsidRPr="00DD1129">
        <w:rPr>
          <w:b/>
        </w:rPr>
        <w:t>Grunnviðmið</w:t>
      </w:r>
      <w:r w:rsidRPr="00DD1129">
        <w:t xml:space="preserve">; með þeim er lögð áhersla á mikilvægustu umhverfisáhrif </w:t>
      </w:r>
      <w:r>
        <w:t>vörunnar eða þjónustunnar</w:t>
      </w:r>
      <w:r w:rsidRPr="00DD1129">
        <w:t>. Viðmiðin eru þannig útfærð að það er tiltölulega auðvelt að sannreyna að þau séu uppfyllt.</w:t>
      </w:r>
    </w:p>
    <w:p w:rsidR="00692497" w:rsidRDefault="00692497" w:rsidP="00692497">
      <w:pPr>
        <w:pStyle w:val="ListParagraph"/>
        <w:numPr>
          <w:ilvl w:val="0"/>
          <w:numId w:val="14"/>
        </w:numPr>
      </w:pPr>
      <w:r w:rsidRPr="00DA346D">
        <w:rPr>
          <w:b/>
        </w:rPr>
        <w:t>Ítarviðmið</w:t>
      </w:r>
      <w:r w:rsidRPr="00DD1129">
        <w:t xml:space="preserve">; </w:t>
      </w:r>
      <w:r w:rsidR="00060318">
        <w:t>gera meiri kröfur til vörunnar eða þjónustunnar um að hún sé sú besta á markaðnum</w:t>
      </w:r>
      <w:bookmarkStart w:id="0" w:name="_GoBack"/>
      <w:bookmarkEnd w:id="0"/>
      <w:r>
        <w:t>. T</w:t>
      </w:r>
      <w:r w:rsidRPr="00DD1129">
        <w:t xml:space="preserve">il að sannreyna að ítarviðmiðin séu uppfyllt </w:t>
      </w:r>
      <w:r>
        <w:t>getur þurft</w:t>
      </w:r>
      <w:r w:rsidRPr="00DD1129">
        <w:t xml:space="preserve"> meir</w:t>
      </w:r>
      <w:r>
        <w:t>i þekkingu á vistvænum innkaupum</w:t>
      </w:r>
      <w:r w:rsidRPr="00DD1129">
        <w:t xml:space="preserve">. </w:t>
      </w:r>
    </w:p>
    <w:p w:rsidR="00692497" w:rsidRDefault="00692497" w:rsidP="00692497">
      <w:r>
        <w:lastRenderedPageBreak/>
        <w:t>Grunn- og ítarviðmiðin samanstanda af lágmarksskilyrðum og matsviðmiðum:</w:t>
      </w:r>
    </w:p>
    <w:p w:rsidR="00692497" w:rsidRDefault="00692497" w:rsidP="00692497">
      <w:r w:rsidRPr="000B4048">
        <w:rPr>
          <w:b/>
        </w:rPr>
        <w:t>Lágmarksskilyrði</w:t>
      </w:r>
      <w:r>
        <w:t>; eru ófrávíkjanleg skilyrði sem boðin vara eða þjónusta skal uppfylla til að tilboð verði tekið til nánari skoðunar.</w:t>
      </w:r>
    </w:p>
    <w:p w:rsidR="00AF11B2" w:rsidRPr="00A4696C" w:rsidRDefault="00692497" w:rsidP="00692497">
      <w:pPr>
        <w:spacing w:after="200"/>
      </w:pPr>
      <w:r w:rsidRPr="000B4048">
        <w:rPr>
          <w:b/>
        </w:rPr>
        <w:t>Matsviðmið</w:t>
      </w:r>
      <w:r>
        <w:t>;</w:t>
      </w:r>
      <w:r w:rsidRPr="00F55608">
        <w:t xml:space="preserve"> </w:t>
      </w:r>
      <w:r>
        <w:t>má nota</w:t>
      </w:r>
      <w:r w:rsidRPr="00DD1129">
        <w:t xml:space="preserve"> ef útboðsaðili vill veita tilboði aukastig sem stendur sig betur en lágmarksskilyrðin segja til um varðandi umhverfis-</w:t>
      </w:r>
      <w:r>
        <w:t xml:space="preserve"> </w:t>
      </w:r>
      <w:r w:rsidRPr="00DD1129">
        <w:t>og gæðaþætti. Í stigamatsgjöf geta matsviðmið fyrir umhverfisþætti veg</w:t>
      </w:r>
      <w:r>
        <w:t>ið 10 til 15% af heildareinkunn</w:t>
      </w:r>
      <w:r w:rsidRPr="00DD1129">
        <w:t>.</w:t>
      </w:r>
      <w:r w:rsidR="00AF11B2">
        <w:rPr>
          <w:highlight w:val="yellow"/>
        </w:rPr>
        <w:br w:type="page"/>
      </w:r>
    </w:p>
    <w:p w:rsidR="00AF11B2" w:rsidRDefault="00AF11B2" w:rsidP="00AF11B2"/>
    <w:p w:rsidR="00AF11B2" w:rsidRPr="00F51B15" w:rsidRDefault="00F404FF" w:rsidP="00552137">
      <w:pPr>
        <w:pStyle w:val="Heading1"/>
        <w:numPr>
          <w:ilvl w:val="0"/>
          <w:numId w:val="0"/>
        </w:numPr>
        <w:ind w:left="431" w:hanging="431"/>
      </w:pPr>
      <w:r>
        <w:t>Helstu umhverfisáhrif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AF11B2" w:rsidRPr="00A53FC8" w:rsidTr="000C7D51">
        <w:tc>
          <w:tcPr>
            <w:tcW w:w="7072" w:type="dxa"/>
          </w:tcPr>
          <w:p w:rsidR="00AF11B2" w:rsidRPr="00A53FC8" w:rsidRDefault="00AF11B2" w:rsidP="000C7D51">
            <w:pPr>
              <w:rPr>
                <w:b/>
              </w:rPr>
            </w:pPr>
            <w:r w:rsidRPr="00A53FC8">
              <w:rPr>
                <w:b/>
              </w:rPr>
              <w:t>Helstu umhverfisáhrif</w:t>
            </w:r>
          </w:p>
        </w:tc>
        <w:tc>
          <w:tcPr>
            <w:tcW w:w="7072" w:type="dxa"/>
          </w:tcPr>
          <w:p w:rsidR="00AF11B2" w:rsidRPr="00A53FC8" w:rsidRDefault="00AF11B2" w:rsidP="000C7D51">
            <w:pPr>
              <w:rPr>
                <w:b/>
              </w:rPr>
            </w:pPr>
            <w:r w:rsidRPr="00A53FC8">
              <w:rPr>
                <w:b/>
              </w:rPr>
              <w:t>Nálgun (GPP)</w:t>
            </w:r>
          </w:p>
        </w:tc>
      </w:tr>
      <w:tr w:rsidR="00AF11B2" w:rsidTr="000C7D51">
        <w:tc>
          <w:tcPr>
            <w:tcW w:w="7072" w:type="dxa"/>
          </w:tcPr>
          <w:p w:rsidR="00E701CB" w:rsidRPr="00BC1D2C" w:rsidRDefault="00D43523" w:rsidP="00E701CB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="Times New Roman"/>
                <w:szCs w:val="24"/>
              </w:rPr>
            </w:pPr>
            <w:r w:rsidRPr="00BC1D2C">
              <w:rPr>
                <w:rFonts w:cs="Times New Roman"/>
                <w:szCs w:val="24"/>
              </w:rPr>
              <w:t xml:space="preserve">Orkunotkun og </w:t>
            </w:r>
            <w:r w:rsidR="00A4696C">
              <w:rPr>
                <w:rFonts w:cs="Times New Roman"/>
                <w:szCs w:val="24"/>
              </w:rPr>
              <w:t>k</w:t>
            </w:r>
            <w:r w:rsidR="00E701CB" w:rsidRPr="00BC1D2C">
              <w:rPr>
                <w:rFonts w:cs="Times New Roman"/>
                <w:szCs w:val="24"/>
              </w:rPr>
              <w:t>oltvísýringslosun (CO</w:t>
            </w:r>
            <w:r w:rsidR="00E701CB" w:rsidRPr="00A4696C">
              <w:rPr>
                <w:rFonts w:cs="Times New Roman"/>
                <w:szCs w:val="24"/>
                <w:vertAlign w:val="subscript"/>
              </w:rPr>
              <w:t>2</w:t>
            </w:r>
            <w:r w:rsidR="00E701CB" w:rsidRPr="00BC1D2C">
              <w:rPr>
                <w:rFonts w:cs="Times New Roman"/>
                <w:szCs w:val="24"/>
              </w:rPr>
              <w:t>)</w:t>
            </w:r>
            <w:r w:rsidR="006C3AB6">
              <w:rPr>
                <w:rFonts w:cs="Times New Roman"/>
                <w:szCs w:val="24"/>
              </w:rPr>
              <w:t>.</w:t>
            </w:r>
          </w:p>
          <w:p w:rsidR="00E701CB" w:rsidRPr="00BC1D2C" w:rsidRDefault="00E701CB" w:rsidP="00E701CB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="Times New Roman"/>
                <w:szCs w:val="24"/>
              </w:rPr>
            </w:pPr>
            <w:r w:rsidRPr="00BC1D2C">
              <w:rPr>
                <w:rFonts w:cs="Times New Roman"/>
                <w:szCs w:val="24"/>
              </w:rPr>
              <w:t xml:space="preserve">Loft-, jarðvegs- og vatnsmengun , </w:t>
            </w:r>
            <w:r w:rsidR="003B351C">
              <w:rPr>
                <w:rFonts w:cs="Times New Roman"/>
                <w:szCs w:val="24"/>
              </w:rPr>
              <w:t>ósonmengun</w:t>
            </w:r>
            <w:r w:rsidRPr="00BC1D2C">
              <w:rPr>
                <w:rFonts w:cs="Times New Roman"/>
                <w:szCs w:val="24"/>
              </w:rPr>
              <w:t xml:space="preserve">, </w:t>
            </w:r>
            <w:r w:rsidRPr="003B351C">
              <w:rPr>
                <w:rFonts w:cs="Times New Roman"/>
                <w:szCs w:val="24"/>
              </w:rPr>
              <w:t xml:space="preserve">uppsöfnun </w:t>
            </w:r>
            <w:r w:rsidR="003B351C" w:rsidRPr="003B351C">
              <w:rPr>
                <w:rFonts w:cs="Times New Roman"/>
                <w:szCs w:val="24"/>
              </w:rPr>
              <w:t xml:space="preserve">þrávirkra efna </w:t>
            </w:r>
            <w:r w:rsidRPr="003B351C">
              <w:rPr>
                <w:rFonts w:cs="Times New Roman"/>
                <w:szCs w:val="24"/>
              </w:rPr>
              <w:t>í lífverum</w:t>
            </w:r>
            <w:r w:rsidR="003B351C">
              <w:rPr>
                <w:rFonts w:cs="Times New Roman"/>
                <w:szCs w:val="24"/>
              </w:rPr>
              <w:t>, áhrif á fæðukeðjuna</w:t>
            </w:r>
            <w:r w:rsidRPr="003B351C">
              <w:rPr>
                <w:rFonts w:cs="Times New Roman"/>
                <w:szCs w:val="24"/>
              </w:rPr>
              <w:t xml:space="preserve"> og á vatnalífveru</w:t>
            </w:r>
            <w:r w:rsidRPr="00BC1D2C">
              <w:rPr>
                <w:rFonts w:cs="Times New Roman"/>
                <w:szCs w:val="24"/>
              </w:rPr>
              <w:t>r vegna hættulegra efna, t.d. kvikasilfursinnihald</w:t>
            </w:r>
            <w:r w:rsidR="0088779F">
              <w:rPr>
                <w:rFonts w:cs="Times New Roman"/>
                <w:szCs w:val="24"/>
              </w:rPr>
              <w:t>s</w:t>
            </w:r>
            <w:r w:rsidRPr="00BC1D2C">
              <w:rPr>
                <w:rFonts w:cs="Times New Roman"/>
                <w:szCs w:val="24"/>
              </w:rPr>
              <w:t xml:space="preserve"> </w:t>
            </w:r>
            <w:r w:rsidRPr="00BC1D2C">
              <w:rPr>
                <w:rFonts w:cs="Times New Roman"/>
                <w:szCs w:val="24"/>
              </w:rPr>
              <w:t xml:space="preserve">LCD skjáa og eldtefjandi efna. </w:t>
            </w:r>
          </w:p>
          <w:p w:rsidR="00AF11B2" w:rsidRPr="00BC1D2C" w:rsidRDefault="00E701CB" w:rsidP="00E701CB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="Times New Roman"/>
                <w:szCs w:val="24"/>
              </w:rPr>
            </w:pPr>
            <w:r w:rsidRPr="00BC1D2C">
              <w:rPr>
                <w:rFonts w:cs="Times New Roman"/>
                <w:szCs w:val="24"/>
              </w:rPr>
              <w:t xml:space="preserve">Neikvæð áhrif á heilsu starfsmanna vegna </w:t>
            </w:r>
            <w:r w:rsidR="00A4696C">
              <w:rPr>
                <w:rFonts w:cs="Times New Roman"/>
                <w:szCs w:val="24"/>
              </w:rPr>
              <w:t xml:space="preserve">streituvaldandi </w:t>
            </w:r>
            <w:r w:rsidRPr="00BC1D2C">
              <w:rPr>
                <w:rFonts w:cs="Times New Roman"/>
                <w:szCs w:val="24"/>
              </w:rPr>
              <w:t xml:space="preserve">hávaða. </w:t>
            </w:r>
            <w:r w:rsidR="00AF11B2" w:rsidRPr="00BC1D2C">
              <w:rPr>
                <w:rFonts w:cs="Times New Roman"/>
                <w:szCs w:val="24"/>
              </w:rPr>
              <w:t xml:space="preserve"> </w:t>
            </w:r>
          </w:p>
          <w:p w:rsidR="00E701CB" w:rsidRPr="00BC1D2C" w:rsidRDefault="00E701CB" w:rsidP="00AF11B2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="Times New Roman"/>
                <w:szCs w:val="24"/>
              </w:rPr>
            </w:pPr>
            <w:r w:rsidRPr="00BC1D2C">
              <w:rPr>
                <w:rFonts w:cs="Times New Roman"/>
                <w:szCs w:val="24"/>
              </w:rPr>
              <w:t>Orkunotkun</w:t>
            </w:r>
            <w:r w:rsidR="00A4696C">
              <w:rPr>
                <w:rFonts w:cs="Times New Roman"/>
                <w:szCs w:val="24"/>
              </w:rPr>
              <w:t>,</w:t>
            </w:r>
            <w:r w:rsidRPr="00BC1D2C">
              <w:rPr>
                <w:rFonts w:cs="Times New Roman"/>
                <w:szCs w:val="24"/>
              </w:rPr>
              <w:t xml:space="preserve"> notkun </w:t>
            </w:r>
            <w:r w:rsidR="00A4696C">
              <w:rPr>
                <w:rFonts w:cs="Times New Roman"/>
                <w:szCs w:val="24"/>
              </w:rPr>
              <w:t>óendurnýjanlegra</w:t>
            </w:r>
            <w:r w:rsidRPr="00BC1D2C">
              <w:rPr>
                <w:rFonts w:cs="Times New Roman"/>
                <w:szCs w:val="24"/>
              </w:rPr>
              <w:t xml:space="preserve"> auðlinda og losun</w:t>
            </w:r>
            <w:r w:rsidR="00A4696C">
              <w:rPr>
                <w:rFonts w:cs="Times New Roman"/>
                <w:szCs w:val="24"/>
              </w:rPr>
              <w:t xml:space="preserve"> skaðlegra efna</w:t>
            </w:r>
            <w:r w:rsidR="00BC1D2C" w:rsidRPr="00BC1D2C">
              <w:rPr>
                <w:rFonts w:cs="Times New Roman"/>
                <w:szCs w:val="24"/>
              </w:rPr>
              <w:t xml:space="preserve"> við framleiðslu tækja</w:t>
            </w:r>
            <w:r w:rsidR="0088779F">
              <w:rPr>
                <w:rFonts w:cs="Times New Roman"/>
                <w:szCs w:val="24"/>
              </w:rPr>
              <w:t xml:space="preserve"> og hráefnisöflun</w:t>
            </w:r>
            <w:r w:rsidR="00A4696C">
              <w:rPr>
                <w:rFonts w:cs="Times New Roman"/>
                <w:szCs w:val="24"/>
              </w:rPr>
              <w:t>.</w:t>
            </w:r>
          </w:p>
          <w:p w:rsidR="00AF11B2" w:rsidRPr="00BC1D2C" w:rsidRDefault="00BC1D2C" w:rsidP="006C3AB6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="Times New Roman"/>
                <w:szCs w:val="24"/>
              </w:rPr>
            </w:pPr>
            <w:r w:rsidRPr="00BC1D2C">
              <w:rPr>
                <w:rFonts w:cs="Times New Roman"/>
                <w:szCs w:val="24"/>
              </w:rPr>
              <w:t>Myndun úrgangs</w:t>
            </w:r>
            <w:r w:rsidR="006C3AB6">
              <w:rPr>
                <w:rFonts w:cs="Times New Roman"/>
                <w:szCs w:val="24"/>
              </w:rPr>
              <w:t xml:space="preserve">, þar með talið </w:t>
            </w:r>
            <w:r w:rsidRPr="00BC1D2C">
              <w:rPr>
                <w:rFonts w:cs="Times New Roman"/>
                <w:szCs w:val="24"/>
              </w:rPr>
              <w:t>umbúð</w:t>
            </w:r>
            <w:r w:rsidR="006C3AB6">
              <w:rPr>
                <w:rFonts w:cs="Times New Roman"/>
                <w:szCs w:val="24"/>
              </w:rPr>
              <w:t>ir</w:t>
            </w:r>
            <w:r w:rsidRPr="00BC1D2C">
              <w:rPr>
                <w:rFonts w:cs="Times New Roman"/>
                <w:szCs w:val="24"/>
              </w:rPr>
              <w:t xml:space="preserve"> og endanleg förgun</w:t>
            </w:r>
            <w:r w:rsidR="006C3AB6">
              <w:rPr>
                <w:rFonts w:cs="Times New Roman"/>
                <w:szCs w:val="24"/>
              </w:rPr>
              <w:t>.</w:t>
            </w:r>
            <w:r w:rsidRPr="00BC1D2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072" w:type="dxa"/>
          </w:tcPr>
          <w:p w:rsidR="00AF11B2" w:rsidRPr="004E1109" w:rsidRDefault="006C3AB6" w:rsidP="00AF11B2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Innk</w:t>
            </w:r>
            <w:r w:rsidR="00BC1D2C" w:rsidRPr="004E1109">
              <w:rPr>
                <w:rFonts w:cs="Times New Roman"/>
                <w:szCs w:val="24"/>
              </w:rPr>
              <w:t>aup á orkusparandi tækjum</w:t>
            </w:r>
            <w:r>
              <w:rPr>
                <w:rFonts w:cs="Times New Roman"/>
                <w:szCs w:val="24"/>
              </w:rPr>
              <w:t>.</w:t>
            </w:r>
          </w:p>
          <w:p w:rsidR="00AF11B2" w:rsidRPr="003B351C" w:rsidRDefault="006C3AB6" w:rsidP="003B351C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200"/>
              <w:rPr>
                <w:rFonts w:cs="Times New Roman"/>
                <w:szCs w:val="24"/>
              </w:rPr>
            </w:pPr>
            <w:r w:rsidRPr="003B351C">
              <w:rPr>
                <w:rFonts w:cs="Times New Roman"/>
                <w:szCs w:val="24"/>
              </w:rPr>
              <w:t>Innk</w:t>
            </w:r>
            <w:r w:rsidR="00BC1D2C" w:rsidRPr="003B351C">
              <w:rPr>
                <w:rFonts w:cs="Times New Roman"/>
                <w:szCs w:val="24"/>
              </w:rPr>
              <w:t xml:space="preserve">aup á vörum </w:t>
            </w:r>
            <w:r w:rsidRPr="003B351C">
              <w:rPr>
                <w:rFonts w:cs="Times New Roman"/>
                <w:szCs w:val="24"/>
              </w:rPr>
              <w:t xml:space="preserve">sem eru </w:t>
            </w:r>
            <w:r w:rsidR="00BC1D2C" w:rsidRPr="003B351C">
              <w:rPr>
                <w:rFonts w:cs="Times New Roman"/>
                <w:szCs w:val="24"/>
              </w:rPr>
              <w:t xml:space="preserve">með </w:t>
            </w:r>
            <w:r w:rsidR="004E1109" w:rsidRPr="003B351C">
              <w:rPr>
                <w:rFonts w:cs="Times New Roman"/>
                <w:szCs w:val="24"/>
              </w:rPr>
              <w:t>takmarkað</w:t>
            </w:r>
            <w:r w:rsidR="00BC1D2C" w:rsidRPr="003B351C">
              <w:rPr>
                <w:rFonts w:cs="Times New Roman"/>
                <w:szCs w:val="24"/>
              </w:rPr>
              <w:t xml:space="preserve"> magn </w:t>
            </w:r>
            <w:r w:rsidRPr="003B351C">
              <w:rPr>
                <w:rFonts w:cs="Times New Roman"/>
                <w:szCs w:val="24"/>
              </w:rPr>
              <w:t>hættu</w:t>
            </w:r>
            <w:r w:rsidR="00BC1D2C" w:rsidRPr="003B351C">
              <w:rPr>
                <w:rFonts w:cs="Times New Roman"/>
                <w:szCs w:val="24"/>
              </w:rPr>
              <w:t xml:space="preserve">legra efna og </w:t>
            </w:r>
            <w:r w:rsidR="003B351C" w:rsidRPr="003B351C">
              <w:rPr>
                <w:rFonts w:cs="Times New Roman"/>
                <w:szCs w:val="24"/>
              </w:rPr>
              <w:t>sem stuðla að móttöku notaðra hluta</w:t>
            </w:r>
            <w:r w:rsidRPr="003B351C">
              <w:rPr>
                <w:rFonts w:cs="Times New Roman"/>
                <w:szCs w:val="24"/>
              </w:rPr>
              <w:t>.</w:t>
            </w:r>
          </w:p>
          <w:p w:rsidR="00BC1D2C" w:rsidRPr="003B351C" w:rsidRDefault="006C3AB6" w:rsidP="003B351C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200"/>
              <w:rPr>
                <w:rFonts w:cs="Times New Roman"/>
                <w:szCs w:val="24"/>
              </w:rPr>
            </w:pPr>
            <w:r w:rsidRPr="003B351C">
              <w:rPr>
                <w:rFonts w:cs="Times New Roman"/>
                <w:szCs w:val="24"/>
              </w:rPr>
              <w:t>Innk</w:t>
            </w:r>
            <w:r w:rsidR="00BC1D2C" w:rsidRPr="003B351C">
              <w:rPr>
                <w:rFonts w:cs="Times New Roman"/>
                <w:szCs w:val="24"/>
              </w:rPr>
              <w:t xml:space="preserve">aup á </w:t>
            </w:r>
            <w:r w:rsidR="006565FF">
              <w:rPr>
                <w:rFonts w:cs="Times New Roman"/>
                <w:szCs w:val="24"/>
              </w:rPr>
              <w:t xml:space="preserve">hljóðlátum </w:t>
            </w:r>
            <w:r w:rsidR="00BC1D2C" w:rsidRPr="003B351C">
              <w:rPr>
                <w:rFonts w:cs="Times New Roman"/>
                <w:szCs w:val="24"/>
              </w:rPr>
              <w:t>vörum</w:t>
            </w:r>
            <w:r w:rsidRPr="003B351C">
              <w:rPr>
                <w:rFonts w:cs="Times New Roman"/>
                <w:szCs w:val="24"/>
              </w:rPr>
              <w:t>.</w:t>
            </w:r>
          </w:p>
          <w:p w:rsidR="00BC1D2C" w:rsidRPr="003B351C" w:rsidRDefault="006C3AB6" w:rsidP="003B351C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200"/>
              <w:rPr>
                <w:rFonts w:cs="Times New Roman"/>
                <w:szCs w:val="24"/>
              </w:rPr>
            </w:pPr>
            <w:r w:rsidRPr="003B351C">
              <w:rPr>
                <w:rFonts w:cs="Times New Roman"/>
                <w:szCs w:val="24"/>
              </w:rPr>
              <w:t xml:space="preserve">Visthönnun sem tekur mið af </w:t>
            </w:r>
            <w:r w:rsidR="00BC1D2C" w:rsidRPr="003B351C">
              <w:rPr>
                <w:rFonts w:cs="Times New Roman"/>
                <w:szCs w:val="24"/>
              </w:rPr>
              <w:t xml:space="preserve">endurvinnslu, lengri líftíma og </w:t>
            </w:r>
            <w:r w:rsidR="003B351C">
              <w:rPr>
                <w:rFonts w:cs="Times New Roman"/>
                <w:szCs w:val="24"/>
              </w:rPr>
              <w:t xml:space="preserve">stuðlar að skilum </w:t>
            </w:r>
            <w:r w:rsidR="003B351C" w:rsidRPr="003B351C">
              <w:rPr>
                <w:rFonts w:cs="Times New Roman"/>
                <w:szCs w:val="24"/>
              </w:rPr>
              <w:t>á not</w:t>
            </w:r>
            <w:r w:rsidR="003B351C">
              <w:rPr>
                <w:rFonts w:cs="Times New Roman"/>
                <w:szCs w:val="24"/>
              </w:rPr>
              <w:t>uðum</w:t>
            </w:r>
            <w:r w:rsidR="003B351C" w:rsidRPr="003B351C">
              <w:rPr>
                <w:rFonts w:cs="Times New Roman"/>
                <w:szCs w:val="24"/>
              </w:rPr>
              <w:t xml:space="preserve"> hlut</w:t>
            </w:r>
            <w:r w:rsidR="003B351C">
              <w:rPr>
                <w:rFonts w:cs="Times New Roman"/>
                <w:szCs w:val="24"/>
              </w:rPr>
              <w:t>um</w:t>
            </w:r>
            <w:r w:rsidRPr="003B351C">
              <w:rPr>
                <w:rFonts w:cs="Times New Roman"/>
                <w:szCs w:val="24"/>
              </w:rPr>
              <w:t>.</w:t>
            </w:r>
          </w:p>
          <w:p w:rsidR="004E1109" w:rsidRPr="004E1109" w:rsidRDefault="00FA7B60" w:rsidP="00AF11B2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Aukin </w:t>
            </w:r>
            <w:r w:rsidR="006C3AB6">
              <w:rPr>
                <w:rFonts w:cs="Times New Roman"/>
                <w:szCs w:val="24"/>
              </w:rPr>
              <w:t xml:space="preserve">notkun </w:t>
            </w:r>
            <w:r w:rsidR="004E1109" w:rsidRPr="004E1109">
              <w:rPr>
                <w:rFonts w:cs="Times New Roman"/>
                <w:szCs w:val="24"/>
              </w:rPr>
              <w:t>umbúða</w:t>
            </w:r>
            <w:r w:rsidR="006C3AB6">
              <w:rPr>
                <w:rFonts w:cs="Times New Roman"/>
                <w:szCs w:val="24"/>
              </w:rPr>
              <w:t xml:space="preserve"> úr endurunnu efni.</w:t>
            </w:r>
          </w:p>
          <w:p w:rsidR="00AF11B2" w:rsidRPr="004E1109" w:rsidRDefault="004E1109" w:rsidP="006C3AB6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cs="Times New Roman"/>
                <w:szCs w:val="24"/>
              </w:rPr>
            </w:pPr>
            <w:r w:rsidRPr="004E1109">
              <w:rPr>
                <w:rFonts w:cs="Times New Roman"/>
                <w:szCs w:val="24"/>
              </w:rPr>
              <w:t xml:space="preserve">Örugg förgun </w:t>
            </w:r>
            <w:r w:rsidR="006C3AB6">
              <w:rPr>
                <w:rFonts w:cs="Times New Roman"/>
                <w:szCs w:val="24"/>
              </w:rPr>
              <w:t xml:space="preserve">vöru </w:t>
            </w:r>
            <w:r w:rsidRPr="004E1109">
              <w:rPr>
                <w:rFonts w:cs="Times New Roman"/>
                <w:szCs w:val="24"/>
              </w:rPr>
              <w:t>(endurvinnsla, endurnotkun)</w:t>
            </w:r>
            <w:r w:rsidR="006C3AB6">
              <w:rPr>
                <w:rFonts w:cs="Times New Roman"/>
                <w:szCs w:val="24"/>
              </w:rPr>
              <w:t>.</w:t>
            </w:r>
            <w:r w:rsidRPr="004E1109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A4696C" w:rsidRDefault="00A4696C">
      <w:pPr>
        <w:spacing w:after="200"/>
        <w:rPr>
          <w:rFonts w:eastAsiaTheme="majorEastAsia" w:cstheme="majorBidi"/>
          <w:b/>
          <w:bCs/>
          <w:smallCaps/>
          <w:sz w:val="32"/>
          <w:szCs w:val="28"/>
        </w:rPr>
      </w:pPr>
      <w:r>
        <w:br w:type="page"/>
      </w:r>
    </w:p>
    <w:p w:rsidR="00F404FF" w:rsidRDefault="00AF11B2" w:rsidP="00F404FF">
      <w:pPr>
        <w:pStyle w:val="Heading1"/>
      </w:pPr>
      <w:r>
        <w:lastRenderedPageBreak/>
        <w:t xml:space="preserve">Tölvur og </w:t>
      </w:r>
      <w:r w:rsidR="004C54E4">
        <w:t>skjáir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7166"/>
      </w:tblGrid>
      <w:tr w:rsidR="00AF11B2" w:rsidTr="00565A78">
        <w:tc>
          <w:tcPr>
            <w:tcW w:w="7054" w:type="dxa"/>
            <w:shd w:val="clear" w:color="auto" w:fill="FFFF00"/>
          </w:tcPr>
          <w:p w:rsidR="00AF11B2" w:rsidRDefault="00AF11B2" w:rsidP="000C7D51">
            <w:pPr>
              <w:pStyle w:val="Titill"/>
            </w:pPr>
            <w:r>
              <w:t>Grunnviðmið</w:t>
            </w:r>
          </w:p>
        </w:tc>
        <w:tc>
          <w:tcPr>
            <w:tcW w:w="7166" w:type="dxa"/>
            <w:shd w:val="clear" w:color="auto" w:fill="FFFF00"/>
          </w:tcPr>
          <w:p w:rsidR="00AF11B2" w:rsidRDefault="00AF11B2" w:rsidP="000C7D51">
            <w:pPr>
              <w:pStyle w:val="Titill"/>
            </w:pPr>
            <w:r>
              <w:t>Ítarviðmið</w:t>
            </w:r>
          </w:p>
        </w:tc>
      </w:tr>
      <w:tr w:rsidR="000C7D51" w:rsidTr="00565A78">
        <w:tc>
          <w:tcPr>
            <w:tcW w:w="7054" w:type="dxa"/>
            <w:vAlign w:val="center"/>
          </w:tcPr>
          <w:p w:rsidR="000C7D51" w:rsidRPr="00C02E8F" w:rsidRDefault="000C7D51" w:rsidP="000C7D51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C02E8F">
              <w:rPr>
                <w:b/>
              </w:rPr>
              <w:t>1.</w:t>
            </w:r>
            <w:r w:rsidRPr="00C02E8F">
              <w:t xml:space="preserve"> </w:t>
            </w:r>
            <w:r w:rsidRPr="00C02E8F">
              <w:rPr>
                <w:b/>
              </w:rPr>
              <w:t xml:space="preserve">Orkunotkun. </w:t>
            </w:r>
            <w:r w:rsidRPr="00C02E8F">
              <w:t>Allar vörur skulu uppfylla nýjustu skilyrði „ENERGY STAR“ um orkunotkun</w:t>
            </w:r>
            <w:r w:rsidR="00E24CA2">
              <w:t>, sjá www.</w:t>
            </w:r>
            <w:proofErr w:type="spellStart"/>
            <w:r w:rsidR="00E24CA2">
              <w:t>eu</w:t>
            </w:r>
            <w:proofErr w:type="spellEnd"/>
            <w:r w:rsidR="00E24CA2">
              <w:t>-</w:t>
            </w:r>
            <w:proofErr w:type="spellStart"/>
            <w:r w:rsidR="00E24CA2">
              <w:t>energystar</w:t>
            </w:r>
            <w:proofErr w:type="spellEnd"/>
            <w:r w:rsidR="00E24CA2">
              <w:t>.org</w:t>
            </w:r>
          </w:p>
          <w:p w:rsidR="000C7D51" w:rsidRPr="00C02E8F" w:rsidRDefault="000C7D51" w:rsidP="003F0DF5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C02E8F">
              <w:rPr>
                <w:b/>
              </w:rPr>
              <w:t xml:space="preserve">Staðfesting: </w:t>
            </w:r>
            <w:r w:rsidR="006C3AB6" w:rsidRPr="006C3AB6">
              <w:t>Sé vara merkt og uppfyllir kröfur viðurkennds</w:t>
            </w:r>
            <w:r w:rsidRPr="006C3AB6">
              <w:t xml:space="preserve"> umhverfismerk</w:t>
            </w:r>
            <w:r w:rsidR="006C3AB6" w:rsidRPr="006C3AB6">
              <w:t>is</w:t>
            </w:r>
            <w:r w:rsidR="00E24CA2" w:rsidRPr="006C3AB6">
              <w:t xml:space="preserve"> (Tegund I)</w:t>
            </w:r>
            <w:r w:rsidR="006C3AB6" w:rsidRPr="006C3AB6">
              <w:t xml:space="preserve"> er það fullnægjandi staðfesting</w:t>
            </w:r>
            <w:r w:rsidRPr="006C3AB6">
              <w:t>.</w:t>
            </w:r>
            <w:r w:rsidRPr="00C02E8F">
              <w:t xml:space="preserve"> Einnig eru samþykkt önnur viðeigandi sönnunargögn, svo sem tæknilýsingar framleiðanda eða prófunarskýrslur frá viðurkenndum aðilum </w:t>
            </w:r>
            <w:r w:rsidR="000602C8">
              <w:t xml:space="preserve">(t.d. </w:t>
            </w:r>
            <w:r w:rsidR="00FA7B60">
              <w:t xml:space="preserve">þeim </w:t>
            </w:r>
            <w:r w:rsidR="000602C8">
              <w:t xml:space="preserve">sem </w:t>
            </w:r>
            <w:r w:rsidR="00FA7B60">
              <w:t xml:space="preserve">hafa </w:t>
            </w:r>
            <w:r w:rsidR="000602C8">
              <w:t xml:space="preserve">leyfi til að gefa út prófunarskýrslur samkvæmt ISO 17025) </w:t>
            </w:r>
            <w:r w:rsidRPr="00C02E8F">
              <w:t xml:space="preserve">sem staðfesta að </w:t>
            </w:r>
            <w:r w:rsidR="003F0DF5">
              <w:t>viðmið</w:t>
            </w:r>
            <w:r w:rsidR="00FA7B60" w:rsidRPr="00C02E8F">
              <w:t xml:space="preserve"> </w:t>
            </w:r>
            <w:r w:rsidRPr="00C02E8F">
              <w:t>hafi verið uppfyllt</w:t>
            </w:r>
            <w:r w:rsidR="00FA7B60">
              <w:t>ar</w:t>
            </w:r>
            <w:r w:rsidRPr="00C02E8F">
              <w:t>.</w:t>
            </w:r>
          </w:p>
        </w:tc>
        <w:tc>
          <w:tcPr>
            <w:tcW w:w="7166" w:type="dxa"/>
            <w:vAlign w:val="center"/>
          </w:tcPr>
          <w:p w:rsidR="000C7D51" w:rsidRPr="00C02E8F" w:rsidRDefault="000C7D51" w:rsidP="000C7D51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C02E8F">
              <w:rPr>
                <w:b/>
              </w:rPr>
              <w:t>1.</w:t>
            </w:r>
            <w:r w:rsidRPr="00C02E8F">
              <w:t xml:space="preserve"> </w:t>
            </w:r>
            <w:r w:rsidRPr="00C02E8F">
              <w:rPr>
                <w:b/>
              </w:rPr>
              <w:t xml:space="preserve">Orkunotkun. </w:t>
            </w:r>
            <w:r w:rsidRPr="00C02E8F">
              <w:t>Allar vörur skulu uppfylla nýjustu skilyrði „ENERGY STAR“ um orkunotkun</w:t>
            </w:r>
            <w:r w:rsidR="00E24CA2">
              <w:t>, sjá www.</w:t>
            </w:r>
            <w:proofErr w:type="spellStart"/>
            <w:r w:rsidR="00E24CA2">
              <w:t>eu</w:t>
            </w:r>
            <w:proofErr w:type="spellEnd"/>
            <w:r w:rsidR="00E24CA2">
              <w:t>-</w:t>
            </w:r>
            <w:proofErr w:type="spellStart"/>
            <w:r w:rsidR="00E24CA2">
              <w:t>energystar</w:t>
            </w:r>
            <w:proofErr w:type="spellEnd"/>
            <w:r w:rsidR="00E24CA2">
              <w:t>.org</w:t>
            </w:r>
          </w:p>
          <w:p w:rsidR="000C7D51" w:rsidRPr="00C02E8F" w:rsidRDefault="000C7D51" w:rsidP="000C7D51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C02E8F">
              <w:rPr>
                <w:b/>
              </w:rPr>
              <w:t xml:space="preserve">Staðfesting: </w:t>
            </w:r>
            <w:r w:rsidR="006C3AB6" w:rsidRPr="006C3AB6">
              <w:t>Sé vara merkt og uppfyllir kröfur viðurkennds umhverfismerkis (Tegund I) er það fullnægjandi staðfesting.</w:t>
            </w:r>
            <w:r w:rsidR="006C3AB6" w:rsidRPr="00C02E8F">
              <w:t xml:space="preserve"> </w:t>
            </w:r>
            <w:r w:rsidR="00E24CA2" w:rsidRPr="00C02E8F">
              <w:t>Einnig eru samþykkt önnur viðeigandi sönnunargögn, svo sem tæknilýsingar framleiðanda eða prófunarskýrslur frá viðurkenndum aðilum</w:t>
            </w:r>
            <w:r w:rsidR="000602C8">
              <w:t xml:space="preserve"> (t.d. starfsemi sem hefur leyfi til að gefa út prófunarskýrslur samkvæmt ISO 17025)</w:t>
            </w:r>
            <w:r w:rsidR="00E24CA2" w:rsidRPr="00C02E8F">
              <w:t xml:space="preserve"> sem staðfesta  að viðmið hafi verið uppfyllt.</w:t>
            </w:r>
          </w:p>
        </w:tc>
      </w:tr>
      <w:tr w:rsidR="000C7D51" w:rsidTr="00565A78">
        <w:tc>
          <w:tcPr>
            <w:tcW w:w="7054" w:type="dxa"/>
            <w:vAlign w:val="center"/>
          </w:tcPr>
          <w:p w:rsidR="00827C7D" w:rsidRDefault="000C7D51" w:rsidP="000C7D51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C02E8F">
              <w:rPr>
                <w:b/>
              </w:rPr>
              <w:t>2.</w:t>
            </w:r>
            <w:r w:rsidRPr="00C02E8F">
              <w:t xml:space="preserve"> </w:t>
            </w:r>
            <w:r w:rsidRPr="00C02E8F">
              <w:rPr>
                <w:b/>
              </w:rPr>
              <w:t>Borð</w:t>
            </w:r>
            <w:r w:rsidR="00DF3610">
              <w:rPr>
                <w:b/>
              </w:rPr>
              <w:t>tö</w:t>
            </w:r>
            <w:r w:rsidRPr="00C02E8F">
              <w:rPr>
                <w:b/>
              </w:rPr>
              <w:t xml:space="preserve">lvur. </w:t>
            </w:r>
          </w:p>
          <w:p w:rsidR="000C7D51" w:rsidRPr="00C02E8F" w:rsidRDefault="000C7D51" w:rsidP="000C7D51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C02E8F">
              <w:t xml:space="preserve">Hönnun borðtölva skal gera ráð fyrir að: </w:t>
            </w:r>
          </w:p>
          <w:p w:rsidR="000C7D51" w:rsidRPr="00C02E8F" w:rsidRDefault="000C7D51" w:rsidP="000C7D5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</w:pPr>
            <w:r w:rsidRPr="00C02E8F">
              <w:t>auðvelt sé að komast að og skipta út vinnsluminni tölvunnar</w:t>
            </w:r>
            <w:r>
              <w:t>,</w:t>
            </w:r>
          </w:p>
          <w:p w:rsidR="000C7D51" w:rsidRPr="00C02E8F" w:rsidRDefault="000C7D51" w:rsidP="000C7D5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</w:pPr>
            <w:r w:rsidRPr="00C02E8F">
              <w:t xml:space="preserve">að hægt sé að skipta út </w:t>
            </w:r>
            <w:r w:rsidR="00FA7B60">
              <w:t>hörðum</w:t>
            </w:r>
            <w:r w:rsidR="00FA7B60" w:rsidRPr="00C02E8F">
              <w:t xml:space="preserve"> </w:t>
            </w:r>
            <w:r w:rsidRPr="00C02E8F">
              <w:t>disk</w:t>
            </w:r>
            <w:r>
              <w:t>i</w:t>
            </w:r>
            <w:r w:rsidRPr="00C02E8F">
              <w:t xml:space="preserve"> tölvunnar og ef við á, geisla</w:t>
            </w:r>
            <w:r>
              <w:t>-</w:t>
            </w:r>
            <w:r w:rsidRPr="00C02E8F">
              <w:t xml:space="preserve"> og/eða DVD</w:t>
            </w:r>
            <w:r>
              <w:t>-</w:t>
            </w:r>
            <w:r w:rsidRPr="00C02E8F">
              <w:t>drifi tölvunnar.</w:t>
            </w:r>
          </w:p>
          <w:p w:rsidR="000C7D51" w:rsidRPr="00C02E8F" w:rsidRDefault="000C7D51" w:rsidP="000C7D51">
            <w:pPr>
              <w:rPr>
                <w:b/>
              </w:rPr>
            </w:pPr>
          </w:p>
          <w:p w:rsidR="000C7D51" w:rsidRPr="000602C8" w:rsidRDefault="000C7D51" w:rsidP="003F0DF5">
            <w:r w:rsidRPr="00C02E8F">
              <w:rPr>
                <w:b/>
              </w:rPr>
              <w:t xml:space="preserve">Staðfesting: </w:t>
            </w:r>
            <w:r w:rsidR="003B351C" w:rsidRPr="006C3AB6">
              <w:t>Sé vara merkt og uppfyllir kröfur viðurkennds umhverfismerkis (Tegund I) er það fullnægjandi staðfesting</w:t>
            </w:r>
            <w:r w:rsidR="003B351C">
              <w:t>.</w:t>
            </w:r>
            <w:r w:rsidR="003B351C" w:rsidRPr="00C02E8F">
              <w:t xml:space="preserve"> </w:t>
            </w:r>
            <w:r w:rsidRPr="00C02E8F">
              <w:t>Einnig eru samþykkt</w:t>
            </w:r>
            <w:r w:rsidR="000602C8">
              <w:t xml:space="preserve"> önnur viðeigandi sönnunargögn </w:t>
            </w:r>
            <w:r w:rsidRPr="00C02E8F">
              <w:t xml:space="preserve">sem staðfesta að </w:t>
            </w:r>
            <w:r w:rsidR="003F0DF5">
              <w:t>viðmiðið</w:t>
            </w:r>
            <w:r w:rsidRPr="00C02E8F">
              <w:t xml:space="preserve"> hafi verið uppfyllt.</w:t>
            </w:r>
          </w:p>
        </w:tc>
        <w:tc>
          <w:tcPr>
            <w:tcW w:w="7166" w:type="dxa"/>
            <w:vAlign w:val="center"/>
          </w:tcPr>
          <w:p w:rsidR="003B351C" w:rsidRPr="003B351C" w:rsidRDefault="003B351C" w:rsidP="003B351C">
            <w:pPr>
              <w:rPr>
                <w:b/>
              </w:rPr>
            </w:pPr>
            <w:r w:rsidRPr="003B351C">
              <w:rPr>
                <w:b/>
              </w:rPr>
              <w:t xml:space="preserve">2. Borðtölvur. </w:t>
            </w:r>
          </w:p>
          <w:p w:rsidR="003B351C" w:rsidRDefault="003B351C" w:rsidP="003B351C">
            <w:r>
              <w:t xml:space="preserve">Hönnun borðtölva skal gera ráð fyrir að: </w:t>
            </w:r>
          </w:p>
          <w:p w:rsidR="003B351C" w:rsidRDefault="003B351C" w:rsidP="003B351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</w:pPr>
            <w:r>
              <w:t>auðvelt sé að komast að og skipta út vinnsluminni tölvunnar,</w:t>
            </w:r>
          </w:p>
          <w:p w:rsidR="003B351C" w:rsidRDefault="003B351C" w:rsidP="003B351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</w:pPr>
            <w:r>
              <w:t>að hægt sé að skipta út harða diski tölvunnar og ef við á, geisla- og/eða DVD-drifi tölvunnar.</w:t>
            </w:r>
          </w:p>
          <w:p w:rsidR="003B351C" w:rsidRDefault="003B351C" w:rsidP="003B351C"/>
          <w:p w:rsidR="000C7D51" w:rsidRPr="00C02E8F" w:rsidRDefault="003B351C" w:rsidP="003F0DF5">
            <w:r>
              <w:t xml:space="preserve">Staðfesting: </w:t>
            </w:r>
            <w:r w:rsidRPr="006C3AB6">
              <w:t>Sé vara merkt og uppfyllir kröfur viðurkennds umhverfismerkis (Tegund I) er það fullnægjandi staðfesting</w:t>
            </w:r>
            <w:r>
              <w:t>. Einnig eru samþykkt önnur viðeigandi sönnunarg</w:t>
            </w:r>
            <w:r w:rsidR="007D7FC8">
              <w:t xml:space="preserve">ögn sem staðfesta </w:t>
            </w:r>
            <w:r>
              <w:t xml:space="preserve">að </w:t>
            </w:r>
            <w:r w:rsidR="003F0DF5">
              <w:t>viðmiðið</w:t>
            </w:r>
            <w:r>
              <w:t xml:space="preserve"> hafi verið uppfyllt.</w:t>
            </w:r>
          </w:p>
        </w:tc>
      </w:tr>
      <w:tr w:rsidR="000C7D51" w:rsidTr="00565A78">
        <w:tc>
          <w:tcPr>
            <w:tcW w:w="7054" w:type="dxa"/>
          </w:tcPr>
          <w:p w:rsidR="00827C7D" w:rsidRDefault="00827C7D" w:rsidP="000C7D51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0C7D51" w:rsidRPr="00C02E8F">
              <w:rPr>
                <w:b/>
                <w:sz w:val="22"/>
              </w:rPr>
              <w:t xml:space="preserve">. </w:t>
            </w:r>
            <w:r w:rsidR="003B351C">
              <w:rPr>
                <w:b/>
              </w:rPr>
              <w:t>Fartölvur</w:t>
            </w:r>
          </w:p>
          <w:p w:rsidR="000C7D51" w:rsidRPr="00C02E8F" w:rsidRDefault="000C7D51" w:rsidP="000C7D51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C02E8F">
              <w:t xml:space="preserve">Hönnun fartölva skal gera ráð fyrir að: </w:t>
            </w:r>
          </w:p>
          <w:p w:rsidR="000C7D51" w:rsidRPr="00C02E8F" w:rsidRDefault="000C7D51" w:rsidP="000C7D5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</w:pPr>
            <w:r w:rsidRPr="00C02E8F">
              <w:t>auðvelt sé að komast að og skipta út vinnsluminni tölvunnar</w:t>
            </w:r>
            <w:r>
              <w:t>.</w:t>
            </w:r>
          </w:p>
          <w:p w:rsidR="000C7D51" w:rsidRPr="00433A2C" w:rsidRDefault="000C7D51" w:rsidP="003F0DF5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C02E8F">
              <w:rPr>
                <w:b/>
              </w:rPr>
              <w:lastRenderedPageBreak/>
              <w:t xml:space="preserve">Staðfesting: </w:t>
            </w:r>
            <w:r w:rsidR="003B351C" w:rsidRPr="006C3AB6">
              <w:t>Sé vara merkt og uppfyllir kröfur viðurkennds umhverfismerkis (Tegund I) er það fullnægjandi staðfesting</w:t>
            </w:r>
            <w:r w:rsidR="00820EEC" w:rsidRPr="00C02E8F">
              <w:t>.</w:t>
            </w:r>
            <w:r w:rsidR="00820EEC">
              <w:t xml:space="preserve"> </w:t>
            </w:r>
            <w:r w:rsidR="00820EEC" w:rsidRPr="00C02E8F">
              <w:t>Einnig eru samþykkt</w:t>
            </w:r>
            <w:r w:rsidR="00820EEC">
              <w:t xml:space="preserve"> önnur viðeigandi sönnunargögn </w:t>
            </w:r>
            <w:r w:rsidR="00820EEC" w:rsidRPr="00C02E8F">
              <w:t>sem staðfesta</w:t>
            </w:r>
            <w:r w:rsidR="00820EEC">
              <w:t xml:space="preserve"> að viðmið hafi verið uppfyllt</w:t>
            </w:r>
            <w:r w:rsidRPr="00C02E8F">
              <w:t>.</w:t>
            </w:r>
          </w:p>
        </w:tc>
        <w:tc>
          <w:tcPr>
            <w:tcW w:w="7166" w:type="dxa"/>
          </w:tcPr>
          <w:p w:rsidR="00827C7D" w:rsidRDefault="00827C7D" w:rsidP="000C7D51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</w:t>
            </w:r>
            <w:r w:rsidR="000C7D51" w:rsidRPr="00C02E8F">
              <w:rPr>
                <w:b/>
                <w:sz w:val="22"/>
              </w:rPr>
              <w:t xml:space="preserve">. </w:t>
            </w:r>
            <w:r w:rsidR="003B351C">
              <w:rPr>
                <w:b/>
              </w:rPr>
              <w:t>Fartölvur</w:t>
            </w:r>
          </w:p>
          <w:p w:rsidR="000C7D51" w:rsidRPr="00C02E8F" w:rsidRDefault="000C7D51" w:rsidP="000C7D51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C02E8F">
              <w:t xml:space="preserve">Hönnun fartölva skal gera ráð fyrir að: </w:t>
            </w:r>
          </w:p>
          <w:p w:rsidR="000C7D51" w:rsidRPr="00C02E8F" w:rsidRDefault="000C7D51" w:rsidP="000C7D5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</w:pPr>
            <w:r w:rsidRPr="00C02E8F">
              <w:t>auðvelt sé að komast að og skipta út vinnsluminni tölvunnar</w:t>
            </w:r>
            <w:r>
              <w:t>.</w:t>
            </w:r>
          </w:p>
          <w:p w:rsidR="000C7D51" w:rsidRPr="00433A2C" w:rsidRDefault="000C7D51" w:rsidP="000C7D51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C02E8F">
              <w:rPr>
                <w:b/>
              </w:rPr>
              <w:lastRenderedPageBreak/>
              <w:t xml:space="preserve">Staðfesting: </w:t>
            </w:r>
            <w:r w:rsidR="003B351C" w:rsidRPr="006C3AB6">
              <w:t>Sé vara merkt og uppfyllir kröfur viðurkennds umhverfismerkis (Tegund I) er það fullnægjandi staðfesting</w:t>
            </w:r>
            <w:r w:rsidR="003B351C">
              <w:t>.</w:t>
            </w:r>
            <w:r w:rsidR="003B351C" w:rsidRPr="00C02E8F">
              <w:t xml:space="preserve"> </w:t>
            </w:r>
            <w:r w:rsidR="00820EEC" w:rsidRPr="00C02E8F">
              <w:t>Einnig eru samþykkt</w:t>
            </w:r>
            <w:r w:rsidR="00820EEC">
              <w:t xml:space="preserve"> önnur viðeigandi sönnunargögn </w:t>
            </w:r>
            <w:r w:rsidR="00820EEC" w:rsidRPr="00C02E8F">
              <w:t>sem staðfesta</w:t>
            </w:r>
            <w:r w:rsidR="003F0DF5">
              <w:t xml:space="preserve"> </w:t>
            </w:r>
            <w:r w:rsidR="00820EEC">
              <w:t>að viðmið hafi verið uppfyllt</w:t>
            </w:r>
            <w:r w:rsidRPr="00C02E8F">
              <w:t>.</w:t>
            </w:r>
          </w:p>
        </w:tc>
      </w:tr>
      <w:tr w:rsidR="000C7D51" w:rsidTr="00565A78">
        <w:tc>
          <w:tcPr>
            <w:tcW w:w="7054" w:type="dxa"/>
          </w:tcPr>
          <w:p w:rsidR="00827C7D" w:rsidRDefault="00827C7D" w:rsidP="00302DB8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302DB8" w:rsidRPr="00C02E8F">
              <w:rPr>
                <w:b/>
              </w:rPr>
              <w:t>Baklýsingarbúnaður</w:t>
            </w:r>
          </w:p>
          <w:p w:rsidR="00302DB8" w:rsidRPr="00C02E8F" w:rsidRDefault="00827C7D" w:rsidP="00302DB8">
            <w:pPr>
              <w:spacing w:before="120"/>
            </w:pPr>
            <w:r w:rsidRPr="00827C7D">
              <w:t>Baklýsingabúnaður</w:t>
            </w:r>
            <w:r w:rsidR="00302DB8" w:rsidRPr="00C02E8F">
              <w:t xml:space="preserve"> í LCD skjáum skal ekki innihalda meira kvikasilfur en sem nemur 3,5 mg að meðaltali fyrir hverja peru.</w:t>
            </w:r>
          </w:p>
          <w:p w:rsidR="000C7D51" w:rsidRDefault="00302DB8" w:rsidP="005E34EF">
            <w:r w:rsidRPr="00C02E8F">
              <w:rPr>
                <w:b/>
              </w:rPr>
              <w:t xml:space="preserve">Staðfesting: </w:t>
            </w:r>
            <w:r w:rsidRPr="00C02E8F">
              <w:t xml:space="preserve">Sé varan merkt með viðurkenndu umhverfismerki (Tegund I), svo sem Evrópublóminu, er það fullnægjandi staðfesting á </w:t>
            </w:r>
            <w:r w:rsidR="005E34EF">
              <w:t xml:space="preserve">að umhverfisviðmið séu uppfyllt. </w:t>
            </w:r>
            <w:r w:rsidR="005E34EF" w:rsidRPr="00C02E8F">
              <w:t>Einnig eru samþykkt</w:t>
            </w:r>
            <w:r w:rsidR="005E34EF">
              <w:t xml:space="preserve"> önnur viðeigandi sönnunargögn </w:t>
            </w:r>
            <w:r w:rsidR="005E34EF" w:rsidRPr="00C02E8F">
              <w:t>sem staðfesta</w:t>
            </w:r>
            <w:r w:rsidR="005E34EF">
              <w:t xml:space="preserve"> að viðmið hafi verið uppfyllt</w:t>
            </w:r>
            <w:r w:rsidRPr="00C02E8F">
              <w:t>.</w:t>
            </w:r>
          </w:p>
          <w:p w:rsidR="00092635" w:rsidRPr="00AD0C59" w:rsidRDefault="00092635" w:rsidP="004E1109">
            <w:r>
              <w:t xml:space="preserve">Sjá </w:t>
            </w:r>
            <w:r w:rsidR="004E1109">
              <w:t xml:space="preserve">reglugerð </w:t>
            </w:r>
            <w:r w:rsidRPr="004E1109">
              <w:t>2011/65/EU um</w:t>
            </w:r>
            <w:r>
              <w:t xml:space="preserve"> bann við notkun á </w:t>
            </w:r>
            <w:r w:rsidR="00827C7D">
              <w:t>hættulegum efnum í raftækjum.</w:t>
            </w:r>
          </w:p>
        </w:tc>
        <w:tc>
          <w:tcPr>
            <w:tcW w:w="7166" w:type="dxa"/>
          </w:tcPr>
          <w:p w:rsidR="00827C7D" w:rsidRDefault="00827C7D" w:rsidP="00302DB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4. </w:t>
            </w:r>
            <w:r w:rsidRPr="00C02E8F">
              <w:rPr>
                <w:b/>
              </w:rPr>
              <w:t>Baklýsingarbúnaður</w:t>
            </w:r>
          </w:p>
          <w:p w:rsidR="00302DB8" w:rsidRPr="00C02E8F" w:rsidRDefault="00302DB8" w:rsidP="00302DB8">
            <w:pPr>
              <w:spacing w:before="120"/>
            </w:pPr>
            <w:r w:rsidRPr="00827C7D">
              <w:t>Baklýsingarbúnaður</w:t>
            </w:r>
            <w:r w:rsidRPr="00C02E8F">
              <w:t xml:space="preserve"> í LCD skjáum skal ekki innihalda meira kvikasilfur en sem nemur 3,5 mg að meðaltali fyrir hverja peru.</w:t>
            </w:r>
          </w:p>
          <w:p w:rsidR="000C7D51" w:rsidRDefault="00302DB8" w:rsidP="00302DB8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C02E8F">
              <w:rPr>
                <w:b/>
              </w:rPr>
              <w:t xml:space="preserve">Staðfesting: </w:t>
            </w:r>
            <w:r w:rsidR="005E34EF" w:rsidRPr="00C02E8F">
              <w:t xml:space="preserve">Sé varan merkt með viðurkenndu umhverfismerki (Tegund I), svo sem Evrópublóminu, er það fullnægjandi staðfesting á </w:t>
            </w:r>
            <w:r w:rsidR="005E34EF">
              <w:t xml:space="preserve">að umhverfisviðmið séu uppfyllt. </w:t>
            </w:r>
            <w:r w:rsidR="005E34EF" w:rsidRPr="00C02E8F">
              <w:t>Einnig eru samþykkt</w:t>
            </w:r>
            <w:r w:rsidR="005E34EF">
              <w:t xml:space="preserve"> önnur viðeigandi sönnunargögn </w:t>
            </w:r>
            <w:r w:rsidR="005E34EF" w:rsidRPr="00C02E8F">
              <w:t>sem staðfesta</w:t>
            </w:r>
            <w:r w:rsidR="005E34EF">
              <w:t xml:space="preserve"> að viðmið hafi verið uppfyllt</w:t>
            </w:r>
            <w:r w:rsidRPr="00C02E8F">
              <w:t>.</w:t>
            </w:r>
          </w:p>
          <w:p w:rsidR="00827C7D" w:rsidRPr="00AD0C59" w:rsidRDefault="00827C7D" w:rsidP="004E1109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4E1109">
              <w:t xml:space="preserve">Sjá </w:t>
            </w:r>
            <w:r w:rsidR="004E1109" w:rsidRPr="004E1109">
              <w:t xml:space="preserve">reglugerð </w:t>
            </w:r>
            <w:r w:rsidRPr="004E1109">
              <w:t>2011/65/EU um bann</w:t>
            </w:r>
            <w:r>
              <w:t xml:space="preserve"> við notkun á hættulegum efnum í raftækjum.</w:t>
            </w:r>
          </w:p>
        </w:tc>
      </w:tr>
      <w:tr w:rsidR="00302DB8" w:rsidTr="00565A78">
        <w:tc>
          <w:tcPr>
            <w:tcW w:w="7054" w:type="dxa"/>
          </w:tcPr>
          <w:p w:rsidR="00827C7D" w:rsidRDefault="00827C7D" w:rsidP="008E4117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302DB8" w:rsidRPr="00C02E8F">
              <w:rPr>
                <w:b/>
              </w:rPr>
              <w:t xml:space="preserve">Hljóðaflsstig í </w:t>
            </w:r>
            <w:r w:rsidR="00322212">
              <w:rPr>
                <w:b/>
              </w:rPr>
              <w:t>far</w:t>
            </w:r>
            <w:r w:rsidR="00302DB8" w:rsidRPr="00C02E8F">
              <w:rPr>
                <w:b/>
              </w:rPr>
              <w:t xml:space="preserve">- og </w:t>
            </w:r>
            <w:r w:rsidR="00DF3610">
              <w:rPr>
                <w:b/>
              </w:rPr>
              <w:t>borð</w:t>
            </w:r>
            <w:r w:rsidR="00302DB8" w:rsidRPr="00C02E8F">
              <w:rPr>
                <w:b/>
              </w:rPr>
              <w:t xml:space="preserve">tölvum. </w:t>
            </w:r>
          </w:p>
          <w:p w:rsidR="00EB4170" w:rsidRDefault="00302DB8" w:rsidP="008E4117">
            <w:r w:rsidRPr="00C02E8F">
              <w:t>„</w:t>
            </w:r>
            <w:r w:rsidR="00E41CC5">
              <w:t>Y</w:t>
            </w:r>
            <w:r w:rsidRPr="00C02E8F">
              <w:t>firlýst A-vegið hljóðaflsstig“ (</w:t>
            </w:r>
            <w:proofErr w:type="spellStart"/>
            <w:r w:rsidRPr="00C02E8F">
              <w:t>re</w:t>
            </w:r>
            <w:proofErr w:type="spellEnd"/>
            <w:r w:rsidRPr="00C02E8F">
              <w:t xml:space="preserve"> 1 </w:t>
            </w:r>
            <w:proofErr w:type="spellStart"/>
            <w:r w:rsidRPr="00C02E8F">
              <w:t>pW</w:t>
            </w:r>
            <w:proofErr w:type="spellEnd"/>
            <w:r w:rsidRPr="00C02E8F">
              <w:t xml:space="preserve">) í </w:t>
            </w:r>
            <w:r w:rsidR="00322212">
              <w:t>far</w:t>
            </w:r>
            <w:r w:rsidRPr="00C02E8F">
              <w:t xml:space="preserve">- og </w:t>
            </w:r>
            <w:r w:rsidR="00DF3610">
              <w:t>borð</w:t>
            </w:r>
            <w:r w:rsidRPr="00C02E8F">
              <w:t xml:space="preserve">tölvum, </w:t>
            </w:r>
            <w:r w:rsidR="00B748F9">
              <w:t xml:space="preserve">samkvæmt </w:t>
            </w:r>
            <w:r w:rsidRPr="00C02E8F">
              <w:t>málsgrein 3.2.5 í ISO 9296, mælt samkvæmt ISO 7779</w:t>
            </w:r>
            <w:r w:rsidR="00FA7B60">
              <w:t xml:space="preserve"> (eða jafngildum stöðlum)</w:t>
            </w:r>
            <w:r w:rsidRPr="00C02E8F">
              <w:t>, sk</w:t>
            </w:r>
            <w:r w:rsidR="00E41CC5">
              <w:t>al ekki vera meira en</w:t>
            </w:r>
            <w:r w:rsidR="00EB4170">
              <w:t>:</w:t>
            </w:r>
          </w:p>
          <w:p w:rsidR="00322212" w:rsidRPr="00F51A67" w:rsidRDefault="00322212" w:rsidP="008E4117">
            <w:pPr>
              <w:rPr>
                <w:b/>
              </w:rPr>
            </w:pPr>
            <w:r w:rsidRPr="00F51A67">
              <w:rPr>
                <w:b/>
              </w:rPr>
              <w:t xml:space="preserve">Fyrir </w:t>
            </w:r>
            <w:r w:rsidR="00FA7B60">
              <w:rPr>
                <w:b/>
              </w:rPr>
              <w:t>borð</w:t>
            </w:r>
            <w:r w:rsidR="00FA7B60" w:rsidRPr="00F51A67">
              <w:rPr>
                <w:b/>
              </w:rPr>
              <w:t>tölvur</w:t>
            </w:r>
            <w:r w:rsidRPr="00F51A67">
              <w:rPr>
                <w:b/>
              </w:rPr>
              <w:t>:</w:t>
            </w:r>
          </w:p>
          <w:p w:rsidR="00EB4170" w:rsidRDefault="00302DB8" w:rsidP="00EB4170">
            <w:pPr>
              <w:pStyle w:val="ListParagraph"/>
              <w:numPr>
                <w:ilvl w:val="0"/>
                <w:numId w:val="11"/>
              </w:numPr>
            </w:pPr>
            <w:r w:rsidRPr="00C02E8F">
              <w:t>4,0 B</w:t>
            </w:r>
            <w:r w:rsidR="00E41CC5">
              <w:t xml:space="preserve"> </w:t>
            </w:r>
            <w:r w:rsidRPr="00C02E8F">
              <w:t xml:space="preserve">(A) þegar </w:t>
            </w:r>
            <w:r w:rsidR="00EB4170">
              <w:t>tölvan er í hvíldarfasa</w:t>
            </w:r>
            <w:r w:rsidRPr="00C02E8F">
              <w:t xml:space="preserve"> (sambærilegt við 40 </w:t>
            </w:r>
            <w:proofErr w:type="spellStart"/>
            <w:r w:rsidRPr="00C02E8F">
              <w:t>dB</w:t>
            </w:r>
            <w:proofErr w:type="spellEnd"/>
            <w:r w:rsidR="00E41CC5">
              <w:t xml:space="preserve"> </w:t>
            </w:r>
            <w:r w:rsidRPr="00C02E8F">
              <w:t xml:space="preserve">(A)) </w:t>
            </w:r>
          </w:p>
          <w:p w:rsidR="00302DB8" w:rsidRPr="00C02E8F" w:rsidRDefault="00302DB8" w:rsidP="00EB4170">
            <w:pPr>
              <w:pStyle w:val="ListParagraph"/>
              <w:numPr>
                <w:ilvl w:val="0"/>
                <w:numId w:val="11"/>
              </w:numPr>
            </w:pPr>
            <w:r w:rsidRPr="00C02E8F">
              <w:t>4,5 B</w:t>
            </w:r>
            <w:r w:rsidR="00E41CC5">
              <w:t xml:space="preserve"> </w:t>
            </w:r>
            <w:r w:rsidRPr="00C02E8F">
              <w:t xml:space="preserve">(A) við </w:t>
            </w:r>
            <w:r w:rsidR="00EB4170">
              <w:t xml:space="preserve">vinnslu á </w:t>
            </w:r>
            <w:r w:rsidRPr="00C02E8F">
              <w:t>harð</w:t>
            </w:r>
            <w:r w:rsidR="00453087">
              <w:t xml:space="preserve">a </w:t>
            </w:r>
            <w:r w:rsidRPr="00C02E8F">
              <w:t>drifi</w:t>
            </w:r>
            <w:r w:rsidR="00453087">
              <w:t>nu</w:t>
            </w:r>
            <w:r w:rsidRPr="00C02E8F">
              <w:t xml:space="preserve"> (sambærilegt við 45 </w:t>
            </w:r>
            <w:proofErr w:type="spellStart"/>
            <w:r w:rsidRPr="00C02E8F">
              <w:t>dB</w:t>
            </w:r>
            <w:proofErr w:type="spellEnd"/>
            <w:r w:rsidR="00E41CC5">
              <w:t xml:space="preserve"> </w:t>
            </w:r>
            <w:r w:rsidRPr="00C02E8F">
              <w:t>(A)).</w:t>
            </w:r>
          </w:p>
          <w:p w:rsidR="00F51A67" w:rsidRDefault="00302DB8" w:rsidP="00322212">
            <w:pPr>
              <w:spacing w:before="120"/>
            </w:pPr>
            <w:r w:rsidRPr="00C02E8F">
              <w:rPr>
                <w:b/>
              </w:rPr>
              <w:t xml:space="preserve">Staðfesting: </w:t>
            </w:r>
            <w:r w:rsidR="00322212" w:rsidRPr="00322212">
              <w:t xml:space="preserve">Allar vörur sem merktar eru Blóminu (EU </w:t>
            </w:r>
            <w:proofErr w:type="spellStart"/>
            <w:r w:rsidR="00322212" w:rsidRPr="00322212">
              <w:t>Ecolabel</w:t>
            </w:r>
            <w:proofErr w:type="spellEnd"/>
            <w:r w:rsidR="00322212" w:rsidRPr="00322212">
              <w:t xml:space="preserve">) uppfylla kröfurnar. Önnur </w:t>
            </w:r>
            <w:r w:rsidR="00B748F9" w:rsidRPr="00322212">
              <w:t>vi</w:t>
            </w:r>
            <w:r w:rsidR="00B748F9" w:rsidRPr="006C3AB6">
              <w:t xml:space="preserve">ðurkennd umhverfismerki (Tegund I) </w:t>
            </w:r>
            <w:r w:rsidR="00F51A67">
              <w:t>sem uppfylla ofangreindar kröfur eru</w:t>
            </w:r>
            <w:r w:rsidR="00B748F9" w:rsidRPr="006C3AB6">
              <w:t xml:space="preserve"> fullnægjandi staðfesting</w:t>
            </w:r>
            <w:r w:rsidR="00EB4170" w:rsidRPr="00C02E8F">
              <w:t>.</w:t>
            </w:r>
            <w:r w:rsidR="00F51A67" w:rsidRPr="00C02E8F">
              <w:t xml:space="preserve"> </w:t>
            </w:r>
            <w:r w:rsidR="00F51A67">
              <w:t xml:space="preserve">Einnig eru samþykkt önnur viðeigandi sönnunargögn </w:t>
            </w:r>
            <w:r w:rsidR="00F51A67" w:rsidRPr="00C02E8F">
              <w:t>sem staðfesta</w:t>
            </w:r>
            <w:r w:rsidR="00F51A67">
              <w:t xml:space="preserve"> að viðmið </w:t>
            </w:r>
            <w:r w:rsidR="00F51A67">
              <w:lastRenderedPageBreak/>
              <w:t>hafi verið uppfyllt</w:t>
            </w:r>
            <w:r w:rsidR="00F51A67" w:rsidRPr="00C02E8F">
              <w:t>.</w:t>
            </w:r>
            <w:r w:rsidR="00EB4170">
              <w:t xml:space="preserve"> </w:t>
            </w:r>
          </w:p>
          <w:p w:rsidR="00F51A67" w:rsidRPr="00F51A67" w:rsidRDefault="00F51A67" w:rsidP="00322212">
            <w:pPr>
              <w:spacing w:before="120"/>
              <w:rPr>
                <w:b/>
              </w:rPr>
            </w:pPr>
            <w:r w:rsidRPr="00F51A67">
              <w:rPr>
                <w:b/>
              </w:rPr>
              <w:t>Fyrir fartölvur:</w:t>
            </w:r>
          </w:p>
          <w:p w:rsidR="00F51A67" w:rsidRDefault="00F51A67" w:rsidP="00F51A67">
            <w:pPr>
              <w:pStyle w:val="ListParagraph"/>
              <w:numPr>
                <w:ilvl w:val="0"/>
                <w:numId w:val="13"/>
              </w:numPr>
            </w:pPr>
            <w:r w:rsidRPr="00C02E8F">
              <w:t>3,5 B</w:t>
            </w:r>
            <w:r w:rsidR="00E41CC5">
              <w:t xml:space="preserve"> </w:t>
            </w:r>
            <w:r w:rsidRPr="00C02E8F">
              <w:t xml:space="preserve">(A) þegar </w:t>
            </w:r>
            <w:r>
              <w:t xml:space="preserve">tölvan er í hvíldarfasa </w:t>
            </w:r>
            <w:r w:rsidRPr="00C02E8F">
              <w:t xml:space="preserve">(sambærilegt við 35 </w:t>
            </w:r>
            <w:proofErr w:type="spellStart"/>
            <w:r w:rsidRPr="00C02E8F">
              <w:t>dB</w:t>
            </w:r>
            <w:proofErr w:type="spellEnd"/>
            <w:r w:rsidR="00E41CC5">
              <w:t xml:space="preserve"> </w:t>
            </w:r>
            <w:r w:rsidRPr="00C02E8F">
              <w:t xml:space="preserve">(A)) </w:t>
            </w:r>
          </w:p>
          <w:p w:rsidR="00F51A67" w:rsidRDefault="00F51A67" w:rsidP="00F51A67">
            <w:pPr>
              <w:pStyle w:val="ListParagraph"/>
              <w:numPr>
                <w:ilvl w:val="0"/>
                <w:numId w:val="13"/>
              </w:numPr>
              <w:spacing w:before="120"/>
            </w:pPr>
            <w:r w:rsidRPr="00C02E8F">
              <w:t>4,0 B</w:t>
            </w:r>
            <w:r w:rsidR="00E41CC5">
              <w:t xml:space="preserve"> </w:t>
            </w:r>
            <w:r w:rsidRPr="00C02E8F">
              <w:t xml:space="preserve">(A) við </w:t>
            </w:r>
            <w:r>
              <w:t xml:space="preserve">vinnslu á </w:t>
            </w:r>
            <w:r w:rsidRPr="00C02E8F">
              <w:t>harð</w:t>
            </w:r>
            <w:r>
              <w:t xml:space="preserve">a </w:t>
            </w:r>
            <w:r w:rsidRPr="00C02E8F">
              <w:t>drifi</w:t>
            </w:r>
            <w:r>
              <w:t>nu</w:t>
            </w:r>
            <w:r w:rsidRPr="00C02E8F">
              <w:t xml:space="preserve"> (sambærilegt við 40 </w:t>
            </w:r>
            <w:proofErr w:type="spellStart"/>
            <w:r w:rsidRPr="00C02E8F">
              <w:t>dB</w:t>
            </w:r>
            <w:proofErr w:type="spellEnd"/>
            <w:r w:rsidR="00E41CC5">
              <w:t xml:space="preserve"> </w:t>
            </w:r>
            <w:r w:rsidRPr="00C02E8F">
              <w:t>(A))</w:t>
            </w:r>
          </w:p>
          <w:p w:rsidR="00E41CC5" w:rsidRDefault="00F51A67" w:rsidP="00322212">
            <w:pPr>
              <w:spacing w:before="120"/>
            </w:pPr>
            <w:r w:rsidRPr="00F51A67">
              <w:rPr>
                <w:b/>
              </w:rPr>
              <w:t>Staðfesting:</w:t>
            </w:r>
            <w:r>
              <w:t xml:space="preserve"> </w:t>
            </w:r>
            <w:r w:rsidRPr="006C3AB6">
              <w:t>Sé vara merkt og uppfyllir kröfur viðurkennds umhverfismerkis (Tegund I) er það fullnægjandi staðfesting</w:t>
            </w:r>
            <w:r w:rsidRPr="00C02E8F">
              <w:t>.</w:t>
            </w:r>
            <w:r>
              <w:t xml:space="preserve"> </w:t>
            </w:r>
            <w:r w:rsidRPr="00C02E8F">
              <w:t>Einnig eru samþykkt</w:t>
            </w:r>
            <w:r>
              <w:t xml:space="preserve"> önnur viðeigandi sönnunargögn </w:t>
            </w:r>
            <w:r w:rsidRPr="00C02E8F">
              <w:t>sem staðfesta</w:t>
            </w:r>
            <w:r>
              <w:t xml:space="preserve">  að viðmið hafi verið uppfyllt</w:t>
            </w:r>
            <w:r w:rsidRPr="00C02E8F">
              <w:t>.</w:t>
            </w:r>
            <w:r>
              <w:t xml:space="preserve"> </w:t>
            </w:r>
          </w:p>
          <w:p w:rsidR="00453087" w:rsidRPr="00CB092D" w:rsidRDefault="00F51A67" w:rsidP="006565FF">
            <w:pPr>
              <w:spacing w:before="120"/>
            </w:pPr>
            <w:r>
              <w:t>Dæmi um slíkt gæti verið skýrsla sem staðfestir að hávað</w:t>
            </w:r>
            <w:r w:rsidR="006565FF">
              <w:t>i</w:t>
            </w:r>
            <w:r>
              <w:t xml:space="preserve"> hafi verið mæld</w:t>
            </w:r>
            <w:r w:rsidR="006565FF">
              <w:t>ur</w:t>
            </w:r>
            <w:r>
              <w:t xml:space="preserve"> í samræmi við ISO 7779 og sé í samræmi við ISO 9296 eða sambærilega staðla. Skýrslan skal tilgreina mælingar á hávaða bæði fyrir tölvu í hvíldarfasa og við notkun á diskadrifi, samkvæmt málsgrein 3.2.5. í ISO 9296 eða sambærilegum stöðlum.</w:t>
            </w:r>
            <w:r w:rsidR="004E1109">
              <w:t xml:space="preserve"> </w:t>
            </w:r>
          </w:p>
        </w:tc>
        <w:tc>
          <w:tcPr>
            <w:tcW w:w="7166" w:type="dxa"/>
          </w:tcPr>
          <w:p w:rsidR="00827C7D" w:rsidRDefault="00827C7D" w:rsidP="008E4117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302DB8">
              <w:rPr>
                <w:b/>
              </w:rPr>
              <w:t>.</w:t>
            </w:r>
            <w:r w:rsidR="00302DB8" w:rsidRPr="00C02E8F">
              <w:t xml:space="preserve"> </w:t>
            </w:r>
            <w:r w:rsidR="00302DB8" w:rsidRPr="00C02E8F">
              <w:rPr>
                <w:b/>
              </w:rPr>
              <w:t xml:space="preserve">Hljóðaflsstig í borð- og </w:t>
            </w:r>
            <w:r w:rsidR="00DF3610">
              <w:rPr>
                <w:b/>
              </w:rPr>
              <w:t>borð</w:t>
            </w:r>
            <w:r w:rsidR="00302DB8" w:rsidRPr="00C02E8F">
              <w:rPr>
                <w:b/>
              </w:rPr>
              <w:t xml:space="preserve">tölvum. </w:t>
            </w:r>
          </w:p>
          <w:p w:rsidR="00EB4170" w:rsidRDefault="00E41CC5" w:rsidP="008E4117">
            <w:r w:rsidRPr="00C02E8F">
              <w:t>„</w:t>
            </w:r>
            <w:r>
              <w:t>Y</w:t>
            </w:r>
            <w:r w:rsidRPr="00C02E8F">
              <w:t>firlýst A-vegið hljóðaflsstig“ (</w:t>
            </w:r>
            <w:proofErr w:type="spellStart"/>
            <w:r w:rsidRPr="00C02E8F">
              <w:t>re</w:t>
            </w:r>
            <w:proofErr w:type="spellEnd"/>
            <w:r w:rsidRPr="00C02E8F">
              <w:t xml:space="preserve"> 1 </w:t>
            </w:r>
            <w:proofErr w:type="spellStart"/>
            <w:r w:rsidRPr="00C02E8F">
              <w:t>pW</w:t>
            </w:r>
            <w:proofErr w:type="spellEnd"/>
            <w:r w:rsidRPr="00C02E8F">
              <w:t xml:space="preserve">) í </w:t>
            </w:r>
            <w:r>
              <w:t>far</w:t>
            </w:r>
            <w:r w:rsidRPr="00C02E8F">
              <w:t xml:space="preserve">- og </w:t>
            </w:r>
            <w:r w:rsidR="00DF3610">
              <w:t>borð</w:t>
            </w:r>
            <w:r w:rsidRPr="00C02E8F">
              <w:t xml:space="preserve">tölvum, </w:t>
            </w:r>
            <w:r>
              <w:t xml:space="preserve">samkvæmt </w:t>
            </w:r>
            <w:r w:rsidRPr="00C02E8F">
              <w:t>málsgrein 3.2.5 í ISO 9296, mælt samkvæmt ISO 7779, sk</w:t>
            </w:r>
            <w:r>
              <w:t>al ekki vera meira en</w:t>
            </w:r>
            <w:r w:rsidR="00EB4170">
              <w:t>:</w:t>
            </w:r>
          </w:p>
          <w:p w:rsidR="00E41CC5" w:rsidRPr="00F51A67" w:rsidRDefault="00E41CC5" w:rsidP="00E41CC5">
            <w:pPr>
              <w:rPr>
                <w:b/>
              </w:rPr>
            </w:pPr>
            <w:r w:rsidRPr="00F51A67">
              <w:rPr>
                <w:b/>
              </w:rPr>
              <w:t xml:space="preserve">Fyrir </w:t>
            </w:r>
            <w:r w:rsidR="00DF3610">
              <w:rPr>
                <w:b/>
              </w:rPr>
              <w:t>borðt</w:t>
            </w:r>
            <w:r w:rsidRPr="00F51A67">
              <w:rPr>
                <w:b/>
              </w:rPr>
              <w:t>ölvur:</w:t>
            </w:r>
          </w:p>
          <w:p w:rsidR="00EB4170" w:rsidRDefault="00302DB8" w:rsidP="00EB4170">
            <w:pPr>
              <w:pStyle w:val="ListParagraph"/>
              <w:numPr>
                <w:ilvl w:val="0"/>
                <w:numId w:val="12"/>
              </w:numPr>
            </w:pPr>
            <w:r w:rsidRPr="00C02E8F">
              <w:t>4,0 B</w:t>
            </w:r>
            <w:r w:rsidR="00E41CC5">
              <w:t xml:space="preserve"> </w:t>
            </w:r>
            <w:r w:rsidRPr="00C02E8F">
              <w:t xml:space="preserve">(A) </w:t>
            </w:r>
            <w:r w:rsidR="00EB4170" w:rsidRPr="00C02E8F">
              <w:t xml:space="preserve">þegar </w:t>
            </w:r>
            <w:r w:rsidR="00EB4170">
              <w:t>tölvan er í hvíldarfasa</w:t>
            </w:r>
            <w:r w:rsidR="00EB4170" w:rsidRPr="00C02E8F">
              <w:t xml:space="preserve"> </w:t>
            </w:r>
            <w:r w:rsidRPr="00C02E8F">
              <w:t xml:space="preserve">(sambærilegt við 40 </w:t>
            </w:r>
            <w:proofErr w:type="spellStart"/>
            <w:r w:rsidRPr="00C02E8F">
              <w:t>dB</w:t>
            </w:r>
            <w:proofErr w:type="spellEnd"/>
            <w:r w:rsidR="00E41CC5">
              <w:t xml:space="preserve"> </w:t>
            </w:r>
            <w:r w:rsidRPr="00C02E8F">
              <w:t xml:space="preserve">(A)) </w:t>
            </w:r>
          </w:p>
          <w:p w:rsidR="00302DB8" w:rsidRPr="00C02E8F" w:rsidRDefault="00302DB8" w:rsidP="00EB4170">
            <w:pPr>
              <w:pStyle w:val="ListParagraph"/>
              <w:numPr>
                <w:ilvl w:val="0"/>
                <w:numId w:val="12"/>
              </w:numPr>
            </w:pPr>
            <w:r w:rsidRPr="00C02E8F">
              <w:t>4,5 B</w:t>
            </w:r>
            <w:r w:rsidR="00E41CC5">
              <w:t xml:space="preserve"> </w:t>
            </w:r>
            <w:r w:rsidRPr="00C02E8F">
              <w:t xml:space="preserve">(A) við </w:t>
            </w:r>
            <w:r w:rsidR="00EB4170">
              <w:t xml:space="preserve">vinnslu á </w:t>
            </w:r>
            <w:r w:rsidR="00EB4170" w:rsidRPr="00C02E8F">
              <w:t>harð</w:t>
            </w:r>
            <w:r w:rsidR="00453087">
              <w:t xml:space="preserve">a </w:t>
            </w:r>
            <w:r w:rsidR="00EB4170" w:rsidRPr="00C02E8F">
              <w:t>drifi</w:t>
            </w:r>
            <w:r w:rsidR="00453087">
              <w:t>nu</w:t>
            </w:r>
            <w:r w:rsidR="00EB4170" w:rsidRPr="00C02E8F">
              <w:t xml:space="preserve"> </w:t>
            </w:r>
            <w:r w:rsidRPr="00C02E8F">
              <w:t xml:space="preserve">(sambærilegt við 45 </w:t>
            </w:r>
            <w:proofErr w:type="spellStart"/>
            <w:r w:rsidRPr="00C02E8F">
              <w:t>dB</w:t>
            </w:r>
            <w:proofErr w:type="spellEnd"/>
            <w:r w:rsidR="00E41CC5">
              <w:t xml:space="preserve"> </w:t>
            </w:r>
            <w:r w:rsidRPr="00C02E8F">
              <w:t>(A)).</w:t>
            </w:r>
          </w:p>
          <w:p w:rsidR="00453087" w:rsidRDefault="00302DB8" w:rsidP="00322212">
            <w:pPr>
              <w:spacing w:before="120"/>
            </w:pPr>
            <w:r w:rsidRPr="00C02E8F">
              <w:rPr>
                <w:b/>
              </w:rPr>
              <w:t xml:space="preserve">Staðfesting: </w:t>
            </w:r>
            <w:r w:rsidR="00B748F9" w:rsidRPr="006C3AB6">
              <w:t>Sé vara merkt og uppfyllir kröfur viðurkennds umhverfismerkis (Tegund I) er það fullnægjandi staðfesting</w:t>
            </w:r>
            <w:r w:rsidR="00EB4170" w:rsidRPr="00C02E8F">
              <w:t>.</w:t>
            </w:r>
            <w:r w:rsidR="00EB4170">
              <w:t xml:space="preserve"> </w:t>
            </w:r>
            <w:r w:rsidR="00EB4170" w:rsidRPr="00C02E8F">
              <w:t>Einnig eru samþykkt</w:t>
            </w:r>
            <w:r w:rsidR="00EB4170">
              <w:t xml:space="preserve"> önnur viðeigandi sönnunargögn </w:t>
            </w:r>
            <w:r w:rsidR="00EB4170" w:rsidRPr="00C02E8F">
              <w:t>sem staðfesta</w:t>
            </w:r>
            <w:r w:rsidR="00EB4170">
              <w:t xml:space="preserve">  að viðmið hafi verið uppfyllt</w:t>
            </w:r>
            <w:r w:rsidR="00CB092D">
              <w:t xml:space="preserve">.  </w:t>
            </w:r>
          </w:p>
          <w:p w:rsidR="00E41CC5" w:rsidRPr="00F51A67" w:rsidRDefault="00E41CC5" w:rsidP="00E41CC5">
            <w:pPr>
              <w:spacing w:before="120"/>
              <w:rPr>
                <w:b/>
              </w:rPr>
            </w:pPr>
            <w:r w:rsidRPr="00F51A67">
              <w:rPr>
                <w:b/>
              </w:rPr>
              <w:lastRenderedPageBreak/>
              <w:t>Fyrir fartölvur:</w:t>
            </w:r>
          </w:p>
          <w:p w:rsidR="00E41CC5" w:rsidRDefault="00E41CC5" w:rsidP="00E41CC5">
            <w:pPr>
              <w:pStyle w:val="ListParagraph"/>
              <w:numPr>
                <w:ilvl w:val="0"/>
                <w:numId w:val="13"/>
              </w:numPr>
            </w:pPr>
            <w:r w:rsidRPr="00C02E8F">
              <w:t>3,5 B</w:t>
            </w:r>
            <w:r>
              <w:t xml:space="preserve"> </w:t>
            </w:r>
            <w:r w:rsidRPr="00C02E8F">
              <w:t xml:space="preserve">(A) þegar </w:t>
            </w:r>
            <w:r>
              <w:t xml:space="preserve">tölvan er í hvíldarfasa </w:t>
            </w:r>
            <w:r w:rsidRPr="00C02E8F">
              <w:t xml:space="preserve">(sambærilegt við 35 </w:t>
            </w:r>
            <w:proofErr w:type="spellStart"/>
            <w:r w:rsidRPr="00C02E8F">
              <w:t>dB</w:t>
            </w:r>
            <w:proofErr w:type="spellEnd"/>
            <w:r>
              <w:t xml:space="preserve"> </w:t>
            </w:r>
            <w:r w:rsidRPr="00C02E8F">
              <w:t xml:space="preserve">(A)) </w:t>
            </w:r>
          </w:p>
          <w:p w:rsidR="00E41CC5" w:rsidRDefault="00E41CC5" w:rsidP="00E41CC5">
            <w:pPr>
              <w:pStyle w:val="ListParagraph"/>
              <w:numPr>
                <w:ilvl w:val="0"/>
                <w:numId w:val="13"/>
              </w:numPr>
              <w:spacing w:before="120"/>
            </w:pPr>
            <w:r w:rsidRPr="00C02E8F">
              <w:t>4,0 B</w:t>
            </w:r>
            <w:r>
              <w:t xml:space="preserve"> </w:t>
            </w:r>
            <w:r w:rsidRPr="00C02E8F">
              <w:t xml:space="preserve">(A) við </w:t>
            </w:r>
            <w:r>
              <w:t xml:space="preserve">vinnslu á </w:t>
            </w:r>
            <w:r w:rsidRPr="00C02E8F">
              <w:t>harð</w:t>
            </w:r>
            <w:r>
              <w:t xml:space="preserve">a </w:t>
            </w:r>
            <w:r w:rsidRPr="00C02E8F">
              <w:t>drifi</w:t>
            </w:r>
            <w:r>
              <w:t>nu</w:t>
            </w:r>
            <w:r w:rsidRPr="00C02E8F">
              <w:t xml:space="preserve"> (sambærilegt við 40 </w:t>
            </w:r>
            <w:proofErr w:type="spellStart"/>
            <w:r w:rsidRPr="00C02E8F">
              <w:t>dB</w:t>
            </w:r>
            <w:proofErr w:type="spellEnd"/>
            <w:r>
              <w:t xml:space="preserve"> </w:t>
            </w:r>
            <w:r w:rsidRPr="00C02E8F">
              <w:t>(A))</w:t>
            </w:r>
          </w:p>
          <w:p w:rsidR="00E41CC5" w:rsidRDefault="00E41CC5" w:rsidP="00E41CC5">
            <w:pPr>
              <w:spacing w:before="120"/>
            </w:pPr>
            <w:r w:rsidRPr="00F51A67">
              <w:rPr>
                <w:b/>
              </w:rPr>
              <w:t>Staðfesting:</w:t>
            </w:r>
            <w:r>
              <w:t xml:space="preserve"> </w:t>
            </w:r>
            <w:r w:rsidRPr="006C3AB6">
              <w:t>Sé vara merkt og uppfyllir kröfur viðurkennds umhverfismerkis (Tegund I) er það fullnægjandi staðfesting</w:t>
            </w:r>
            <w:r w:rsidRPr="00C02E8F">
              <w:t>.</w:t>
            </w:r>
            <w:r>
              <w:t xml:space="preserve"> </w:t>
            </w:r>
            <w:r w:rsidRPr="00C02E8F">
              <w:t>Einnig eru samþykkt</w:t>
            </w:r>
            <w:r>
              <w:t xml:space="preserve"> önnur viðeigandi sönnunargögn </w:t>
            </w:r>
            <w:r w:rsidRPr="00C02E8F">
              <w:t>sem staðfesta</w:t>
            </w:r>
            <w:r>
              <w:t xml:space="preserve">  að viðmið hafi verið uppfyllt</w:t>
            </w:r>
            <w:r w:rsidRPr="00C02E8F">
              <w:t>.</w:t>
            </w:r>
            <w:r>
              <w:t xml:space="preserve"> </w:t>
            </w:r>
          </w:p>
          <w:p w:rsidR="00E41CC5" w:rsidRPr="00C02E8F" w:rsidRDefault="00E41CC5" w:rsidP="006565FF">
            <w:pPr>
              <w:spacing w:before="120"/>
              <w:rPr>
                <w:b/>
                <w:sz w:val="22"/>
              </w:rPr>
            </w:pPr>
            <w:r>
              <w:t>Dæmi um slíkt gæti verið skýrsla sem staðfestir að hávað</w:t>
            </w:r>
            <w:r w:rsidR="006565FF">
              <w:t>i</w:t>
            </w:r>
            <w:r>
              <w:t xml:space="preserve"> hafi verið mæld</w:t>
            </w:r>
            <w:r w:rsidR="006565FF">
              <w:t>ur</w:t>
            </w:r>
            <w:r>
              <w:t xml:space="preserve"> í samræmi við ISO 7779 og sé í samræmi við ISO 9296 eða sambærilega staðla. Skýrslan skal tilgreina mælingar á hávaða bæði fyrir tölvu í hvíldarfasa og við notkun á diskadrifi, samkvæmt málsgrein 3.2.5. í ISO 9296 eða sambærilegum stöðlum.  </w:t>
            </w:r>
          </w:p>
        </w:tc>
      </w:tr>
      <w:tr w:rsidR="00892AAF" w:rsidTr="00565A78">
        <w:tc>
          <w:tcPr>
            <w:tcW w:w="7054" w:type="dxa"/>
          </w:tcPr>
          <w:p w:rsidR="008B3F3D" w:rsidRPr="00565A78" w:rsidRDefault="00892AAF" w:rsidP="00302DB8">
            <w:pPr>
              <w:rPr>
                <w:b/>
              </w:rPr>
            </w:pPr>
            <w:r w:rsidRPr="00565A78">
              <w:rPr>
                <w:b/>
              </w:rPr>
              <w:lastRenderedPageBreak/>
              <w:t xml:space="preserve">6. </w:t>
            </w:r>
            <w:r w:rsidR="008B3F3D" w:rsidRPr="00565A78">
              <w:rPr>
                <w:b/>
              </w:rPr>
              <w:t>Umhverfisvæn notkun</w:t>
            </w:r>
          </w:p>
          <w:p w:rsidR="00892AAF" w:rsidRPr="00892AAF" w:rsidRDefault="008B3F3D" w:rsidP="00302DB8">
            <w:r>
              <w:t>Veita skal n</w:t>
            </w:r>
            <w:r w:rsidR="00892AAF" w:rsidRPr="00892AAF">
              <w:t xml:space="preserve">otendaleiðbeiningar og/eða þjálfunarnámskeið fyrir upplýsingatækniaðstoð um </w:t>
            </w:r>
            <w:r>
              <w:t>umhverfisvæna</w:t>
            </w:r>
            <w:r w:rsidR="00892AAF" w:rsidRPr="00892AAF">
              <w:t xml:space="preserve"> </w:t>
            </w:r>
            <w:r w:rsidR="0021289D">
              <w:t>umsjón með</w:t>
            </w:r>
            <w:r w:rsidR="00892AAF" w:rsidRPr="00892AAF">
              <w:t xml:space="preserve"> upplýsingatæknivörum</w:t>
            </w:r>
            <w:r>
              <w:t>.</w:t>
            </w:r>
          </w:p>
          <w:p w:rsidR="00892AAF" w:rsidRPr="00892AAF" w:rsidRDefault="00892AAF" w:rsidP="0021289D">
            <w:r w:rsidRPr="008B3F3D">
              <w:rPr>
                <w:b/>
              </w:rPr>
              <w:t>Staðfesting</w:t>
            </w:r>
            <w:r w:rsidRPr="00892AAF">
              <w:t xml:space="preserve">: </w:t>
            </w:r>
            <w:r w:rsidR="008B3F3D">
              <w:t>Skaffa skal kaupanda ein</w:t>
            </w:r>
            <w:r w:rsidRPr="00892AAF">
              <w:t xml:space="preserve">tak af </w:t>
            </w:r>
            <w:r w:rsidR="008B3F3D">
              <w:t>notenda</w:t>
            </w:r>
            <w:r w:rsidRPr="00892AAF">
              <w:t>leiðbeining</w:t>
            </w:r>
            <w:r w:rsidR="008B3F3D">
              <w:t>u</w:t>
            </w:r>
            <w:r w:rsidRPr="00892AAF">
              <w:t xml:space="preserve">m. </w:t>
            </w:r>
            <w:r w:rsidR="008B3F3D">
              <w:t>L</w:t>
            </w:r>
            <w:r w:rsidRPr="00892AAF">
              <w:t>eiðbeiningar</w:t>
            </w:r>
            <w:r w:rsidR="008B3F3D">
              <w:t>nar</w:t>
            </w:r>
            <w:r w:rsidRPr="00892AAF">
              <w:t xml:space="preserve"> sk</w:t>
            </w:r>
            <w:r w:rsidR="008B3F3D">
              <w:t xml:space="preserve">al setja upp </w:t>
            </w:r>
            <w:r w:rsidRPr="00892AAF">
              <w:t>í tölvunni</w:t>
            </w:r>
            <w:r w:rsidR="0021289D">
              <w:t xml:space="preserve"> áður en hún er tekin í notkun</w:t>
            </w:r>
            <w:r w:rsidRPr="00892AAF">
              <w:t xml:space="preserve"> (eða ef um skjá er að ræða, </w:t>
            </w:r>
            <w:r w:rsidR="008B3F3D">
              <w:t xml:space="preserve">þá </w:t>
            </w:r>
            <w:r w:rsidR="0021289D" w:rsidRPr="00892AAF">
              <w:t>fylg</w:t>
            </w:r>
            <w:r w:rsidR="0021289D">
              <w:t>i</w:t>
            </w:r>
            <w:r w:rsidR="0021289D" w:rsidRPr="00892AAF">
              <w:t xml:space="preserve"> </w:t>
            </w:r>
            <w:r w:rsidR="008B3F3D">
              <w:t xml:space="preserve">þær </w:t>
            </w:r>
            <w:r w:rsidRPr="00892AAF">
              <w:t xml:space="preserve">með </w:t>
            </w:r>
            <w:r w:rsidR="0021289D">
              <w:t xml:space="preserve">reklinum (e. </w:t>
            </w:r>
            <w:proofErr w:type="spellStart"/>
            <w:r w:rsidR="0021289D">
              <w:t>driver</w:t>
            </w:r>
            <w:proofErr w:type="spellEnd"/>
            <w:r w:rsidR="0021289D">
              <w:t>)</w:t>
            </w:r>
            <w:r w:rsidRPr="00892AAF">
              <w:t>) fyrir not</w:t>
            </w:r>
            <w:r w:rsidR="008B3F3D">
              <w:t xml:space="preserve">endur </w:t>
            </w:r>
            <w:r w:rsidR="008B3F3D" w:rsidRPr="00892AAF">
              <w:t>til aflestrar</w:t>
            </w:r>
            <w:r w:rsidR="008B3F3D">
              <w:t xml:space="preserve">, </w:t>
            </w:r>
            <w:r w:rsidRPr="00892AAF">
              <w:t>leiðbeiningar</w:t>
            </w:r>
            <w:r w:rsidR="008B3F3D">
              <w:t>nar skulu einnig</w:t>
            </w:r>
            <w:r w:rsidRPr="00892AAF">
              <w:t xml:space="preserve"> vera aðgengilegar á vef framleiðanda. </w:t>
            </w:r>
            <w:r w:rsidR="008B3F3D">
              <w:t>Fjalla mætti t.d. um orkusparandi ráð</w:t>
            </w:r>
            <w:r w:rsidRPr="00892AAF">
              <w:t xml:space="preserve">. </w:t>
            </w:r>
            <w:r w:rsidR="008B3F3D">
              <w:t xml:space="preserve">Einnig má bjóða upp á </w:t>
            </w:r>
            <w:r w:rsidRPr="00892AAF">
              <w:t xml:space="preserve">einfalt þjálfunarnámskeið (gagnvirkt, </w:t>
            </w:r>
            <w:r w:rsidR="0021289D">
              <w:t>ef varan er þess eðlis</w:t>
            </w:r>
            <w:r w:rsidRPr="00892AAF">
              <w:t>)</w:t>
            </w:r>
            <w:r w:rsidR="008B3F3D">
              <w:t xml:space="preserve"> eða</w:t>
            </w:r>
            <w:r w:rsidRPr="00892AAF">
              <w:t xml:space="preserve"> </w:t>
            </w:r>
            <w:r w:rsidR="0021289D">
              <w:t>uppflettiefni</w:t>
            </w:r>
            <w:r w:rsidRPr="00892AAF">
              <w:t xml:space="preserve">.  </w:t>
            </w:r>
          </w:p>
        </w:tc>
        <w:tc>
          <w:tcPr>
            <w:tcW w:w="7166" w:type="dxa"/>
          </w:tcPr>
          <w:p w:rsidR="008B3F3D" w:rsidRPr="00565A78" w:rsidRDefault="00892AAF" w:rsidP="005960B2">
            <w:pPr>
              <w:rPr>
                <w:b/>
              </w:rPr>
            </w:pPr>
            <w:r w:rsidRPr="00565A78">
              <w:rPr>
                <w:b/>
              </w:rPr>
              <w:t xml:space="preserve">6. </w:t>
            </w:r>
            <w:r w:rsidR="008B3F3D" w:rsidRPr="00565A78">
              <w:rPr>
                <w:b/>
              </w:rPr>
              <w:t>Umhverfisvæn notkun</w:t>
            </w:r>
          </w:p>
          <w:p w:rsidR="00892AAF" w:rsidRPr="00892AAF" w:rsidRDefault="008B3F3D" w:rsidP="005960B2">
            <w:r>
              <w:t>Veita skal n</w:t>
            </w:r>
            <w:r w:rsidR="00892AAF" w:rsidRPr="00892AAF">
              <w:t xml:space="preserve">otendaleiðbeiningar og/eða þjálfunarnámskeið fyrir upplýsingatækniaðstoð um </w:t>
            </w:r>
            <w:r w:rsidR="006565FF">
              <w:t>umhverfisvæna</w:t>
            </w:r>
            <w:r w:rsidR="006565FF" w:rsidRPr="00892AAF">
              <w:t xml:space="preserve"> </w:t>
            </w:r>
            <w:r w:rsidR="006565FF">
              <w:t>umsjón með</w:t>
            </w:r>
            <w:r w:rsidR="006565FF" w:rsidRPr="00892AAF">
              <w:t xml:space="preserve"> upplýsingatæknivörum</w:t>
            </w:r>
            <w:r>
              <w:t>.</w:t>
            </w:r>
          </w:p>
          <w:p w:rsidR="00892AAF" w:rsidRPr="00892AAF" w:rsidRDefault="00892AAF" w:rsidP="006565FF">
            <w:r w:rsidRPr="008B3F3D">
              <w:rPr>
                <w:b/>
              </w:rPr>
              <w:t>Staðfesting</w:t>
            </w:r>
            <w:r w:rsidRPr="00892AAF">
              <w:t xml:space="preserve">: </w:t>
            </w:r>
            <w:r w:rsidR="00025822">
              <w:t>Skaffa skal kaupanda ein</w:t>
            </w:r>
            <w:r w:rsidR="00025822" w:rsidRPr="00892AAF">
              <w:t xml:space="preserve">tak af </w:t>
            </w:r>
            <w:r w:rsidR="00025822">
              <w:t>notenda</w:t>
            </w:r>
            <w:r w:rsidR="00025822" w:rsidRPr="00892AAF">
              <w:t>leiðbeining</w:t>
            </w:r>
            <w:r w:rsidR="00025822">
              <w:t>u</w:t>
            </w:r>
            <w:r w:rsidR="00025822" w:rsidRPr="00892AAF">
              <w:t xml:space="preserve">m. </w:t>
            </w:r>
            <w:r w:rsidR="006565FF">
              <w:t>L</w:t>
            </w:r>
            <w:r w:rsidR="006565FF" w:rsidRPr="00892AAF">
              <w:t>eiðbeiningar</w:t>
            </w:r>
            <w:r w:rsidR="006565FF">
              <w:t>nar</w:t>
            </w:r>
            <w:r w:rsidR="006565FF" w:rsidRPr="00892AAF">
              <w:t xml:space="preserve"> sk</w:t>
            </w:r>
            <w:r w:rsidR="006565FF">
              <w:t xml:space="preserve">al setja upp </w:t>
            </w:r>
            <w:r w:rsidR="006565FF" w:rsidRPr="00892AAF">
              <w:t>í tölvunni</w:t>
            </w:r>
            <w:r w:rsidR="006565FF">
              <w:t xml:space="preserve"> áður en hún er tekin í notkun</w:t>
            </w:r>
            <w:r w:rsidR="006565FF" w:rsidRPr="00892AAF">
              <w:t xml:space="preserve"> (eða ef um skjá er að ræða, </w:t>
            </w:r>
            <w:r w:rsidR="006565FF">
              <w:t xml:space="preserve">þá </w:t>
            </w:r>
            <w:r w:rsidR="006565FF" w:rsidRPr="00892AAF">
              <w:t>fylg</w:t>
            </w:r>
            <w:r w:rsidR="006565FF">
              <w:t>i</w:t>
            </w:r>
            <w:r w:rsidR="006565FF" w:rsidRPr="00892AAF">
              <w:t xml:space="preserve"> </w:t>
            </w:r>
            <w:r w:rsidR="006565FF">
              <w:t xml:space="preserve">þær </w:t>
            </w:r>
            <w:r w:rsidR="006565FF" w:rsidRPr="00892AAF">
              <w:t xml:space="preserve">með </w:t>
            </w:r>
            <w:r w:rsidR="006565FF">
              <w:t xml:space="preserve">reklinum (e. </w:t>
            </w:r>
            <w:proofErr w:type="spellStart"/>
            <w:r w:rsidR="006565FF">
              <w:t>driver</w:t>
            </w:r>
            <w:proofErr w:type="spellEnd"/>
            <w:r w:rsidR="006565FF">
              <w:t>)</w:t>
            </w:r>
            <w:r w:rsidR="006565FF" w:rsidRPr="00892AAF">
              <w:t>) fyrir not</w:t>
            </w:r>
            <w:r w:rsidR="006565FF">
              <w:t xml:space="preserve">endur </w:t>
            </w:r>
            <w:r w:rsidR="006565FF" w:rsidRPr="00892AAF">
              <w:t>til aflestrar</w:t>
            </w:r>
            <w:r w:rsidR="006565FF">
              <w:t xml:space="preserve">, </w:t>
            </w:r>
            <w:r w:rsidR="006565FF" w:rsidRPr="00892AAF">
              <w:t>leiðbeiningar</w:t>
            </w:r>
            <w:r w:rsidR="006565FF">
              <w:t>nar skulu einnig</w:t>
            </w:r>
            <w:r w:rsidR="006565FF" w:rsidRPr="00892AAF">
              <w:t xml:space="preserve"> vera aðgengilegar á vef framleiðanda. </w:t>
            </w:r>
            <w:r w:rsidR="006565FF">
              <w:t>Fjalla mætti t.d. um orkusparandi ráð</w:t>
            </w:r>
            <w:r w:rsidR="006565FF" w:rsidRPr="00892AAF">
              <w:t xml:space="preserve">. </w:t>
            </w:r>
            <w:r w:rsidR="006565FF">
              <w:t xml:space="preserve">Einnig má bjóða upp á </w:t>
            </w:r>
            <w:r w:rsidR="006565FF" w:rsidRPr="00892AAF">
              <w:t xml:space="preserve">einfalt þjálfunarnámskeið (gagnvirkt, </w:t>
            </w:r>
            <w:r w:rsidR="006565FF">
              <w:t>ef varan er þess eðlis</w:t>
            </w:r>
            <w:r w:rsidR="006565FF" w:rsidRPr="00892AAF">
              <w:t>)</w:t>
            </w:r>
            <w:r w:rsidR="006565FF">
              <w:t xml:space="preserve"> eða</w:t>
            </w:r>
            <w:r w:rsidR="006565FF" w:rsidRPr="00892AAF">
              <w:t xml:space="preserve"> </w:t>
            </w:r>
            <w:r w:rsidR="006565FF">
              <w:t>uppflettiefni</w:t>
            </w:r>
            <w:r w:rsidR="006565FF" w:rsidRPr="00892AAF">
              <w:t xml:space="preserve">.  </w:t>
            </w:r>
          </w:p>
        </w:tc>
      </w:tr>
      <w:tr w:rsidR="00892AAF" w:rsidTr="00565A78">
        <w:tc>
          <w:tcPr>
            <w:tcW w:w="7054" w:type="dxa"/>
          </w:tcPr>
          <w:p w:rsidR="00892AAF" w:rsidRPr="00025822" w:rsidRDefault="00892AAF" w:rsidP="00302DB8">
            <w:pPr>
              <w:rPr>
                <w:b/>
              </w:rPr>
            </w:pPr>
            <w:r w:rsidRPr="00025822">
              <w:rPr>
                <w:b/>
              </w:rPr>
              <w:t>7. Umbúðir</w:t>
            </w:r>
          </w:p>
          <w:p w:rsidR="00892AAF" w:rsidRPr="00892AAF" w:rsidRDefault="00025822" w:rsidP="00302DB8">
            <w:r>
              <w:lastRenderedPageBreak/>
              <w:t>Pappaumbúðir</w:t>
            </w:r>
            <w:r w:rsidR="00892AAF" w:rsidRPr="00892AAF">
              <w:t xml:space="preserve"> skulu vera úr a</w:t>
            </w:r>
            <w:r>
              <w:t>ð lágmarki</w:t>
            </w:r>
            <w:r w:rsidR="00892AAF" w:rsidRPr="00892AAF">
              <w:t xml:space="preserve"> 50% endurunnum efnum. </w:t>
            </w:r>
            <w:r>
              <w:t>Þar sem p</w:t>
            </w:r>
            <w:r w:rsidR="00892AAF" w:rsidRPr="00892AAF">
              <w:t xml:space="preserve">lastpokar eða </w:t>
            </w:r>
            <w:r w:rsidR="0021289D">
              <w:t xml:space="preserve">þynnur </w:t>
            </w:r>
            <w:r>
              <w:t>eru hluti af umbúðum, skulu þau vera</w:t>
            </w:r>
            <w:r w:rsidR="00892AAF" w:rsidRPr="00892AAF">
              <w:t xml:space="preserve"> a</w:t>
            </w:r>
            <w:r>
              <w:t>ð lágmarki</w:t>
            </w:r>
            <w:r w:rsidR="00892AAF" w:rsidRPr="00892AAF">
              <w:t xml:space="preserve"> </w:t>
            </w:r>
            <w:r>
              <w:t xml:space="preserve">úr </w:t>
            </w:r>
            <w:r w:rsidR="00892AAF" w:rsidRPr="00892AAF">
              <w:t xml:space="preserve">50% endurunnum efnum eða vera lífbrjótanleg eða hæf til moltugerðar, samkvæmt skilgreiningum EN 13432. </w:t>
            </w:r>
          </w:p>
          <w:p w:rsidR="00892AAF" w:rsidRPr="00892AAF" w:rsidRDefault="00892AAF" w:rsidP="001F7562">
            <w:r w:rsidRPr="00025822">
              <w:rPr>
                <w:b/>
              </w:rPr>
              <w:t>Mat og staðfesting</w:t>
            </w:r>
            <w:r w:rsidRPr="00892AAF">
              <w:t>: Viðmið eru uppfyllt ef vara er merkt og uppfyllir kröfur viðurkennds umhverfismerkis (Tegund I). Að öðrum kosti</w:t>
            </w:r>
            <w:r w:rsidR="0021289D">
              <w:t xml:space="preserve"> skal gefin yfirlýsing um að umbúðirnar samræmist kröfunum</w:t>
            </w:r>
            <w:r w:rsidRPr="00892AAF">
              <w:t xml:space="preserve">. Aðeins </w:t>
            </w:r>
            <w:r w:rsidR="001F7562">
              <w:t>aðalumbúðir</w:t>
            </w:r>
            <w:r w:rsidRPr="00892AAF">
              <w:t xml:space="preserve"> </w:t>
            </w:r>
            <w:r w:rsidR="003C790F">
              <w:t xml:space="preserve">(e. </w:t>
            </w:r>
            <w:proofErr w:type="spellStart"/>
            <w:r w:rsidR="003C790F">
              <w:t>primary</w:t>
            </w:r>
            <w:proofErr w:type="spellEnd"/>
            <w:r w:rsidR="003C790F">
              <w:t xml:space="preserve"> </w:t>
            </w:r>
            <w:proofErr w:type="spellStart"/>
            <w:r w:rsidR="003C790F">
              <w:t>packaging</w:t>
            </w:r>
            <w:proofErr w:type="spellEnd"/>
            <w:r w:rsidR="003C790F">
              <w:t>)</w:t>
            </w:r>
            <w:r w:rsidR="001F7562">
              <w:t>,</w:t>
            </w:r>
            <w:r w:rsidR="003C790F">
              <w:t xml:space="preserve"> </w:t>
            </w:r>
            <w:r w:rsidRPr="00892AAF">
              <w:t>eins og þær eru skilgreindar í tilskipun</w:t>
            </w:r>
            <w:r w:rsidR="00025822">
              <w:t xml:space="preserve"> 94/62/EC, eru háðar viðmiðum. </w:t>
            </w:r>
          </w:p>
        </w:tc>
        <w:tc>
          <w:tcPr>
            <w:tcW w:w="7166" w:type="dxa"/>
          </w:tcPr>
          <w:p w:rsidR="00892AAF" w:rsidRPr="00025822" w:rsidRDefault="00892AAF" w:rsidP="005960B2">
            <w:pPr>
              <w:rPr>
                <w:b/>
              </w:rPr>
            </w:pPr>
            <w:r w:rsidRPr="00025822">
              <w:rPr>
                <w:b/>
              </w:rPr>
              <w:lastRenderedPageBreak/>
              <w:t>7. Umbúðir</w:t>
            </w:r>
          </w:p>
          <w:p w:rsidR="00025822" w:rsidRDefault="00025822" w:rsidP="005960B2">
            <w:r>
              <w:lastRenderedPageBreak/>
              <w:t>Pappaumbúðir</w:t>
            </w:r>
            <w:r w:rsidRPr="00892AAF">
              <w:t xml:space="preserve"> skulu vera úr a</w:t>
            </w:r>
            <w:r>
              <w:t>ð lágmarki</w:t>
            </w:r>
            <w:r w:rsidRPr="00892AAF">
              <w:t xml:space="preserve"> 50% endurunnum efnum. </w:t>
            </w:r>
            <w:r>
              <w:t>Þar sem p</w:t>
            </w:r>
            <w:r w:rsidRPr="00892AAF">
              <w:t>lastpokar eða bl</w:t>
            </w:r>
            <w:r>
              <w:t>öð eru hluti af umbúðum, skulu þau vera</w:t>
            </w:r>
            <w:r w:rsidRPr="00892AAF">
              <w:t xml:space="preserve"> a</w:t>
            </w:r>
            <w:r>
              <w:t>ð lágmarki</w:t>
            </w:r>
            <w:r w:rsidRPr="00892AAF">
              <w:t xml:space="preserve"> </w:t>
            </w:r>
            <w:r>
              <w:t xml:space="preserve">úr </w:t>
            </w:r>
            <w:r w:rsidRPr="00892AAF">
              <w:t xml:space="preserve">50% endurunnum efnum eða vera lífbrjótanleg eða hæf til moltugerðar, samkvæmt skilgreiningum EN 13432. </w:t>
            </w:r>
          </w:p>
          <w:p w:rsidR="00892AAF" w:rsidRPr="00892AAF" w:rsidRDefault="00892AAF" w:rsidP="005960B2">
            <w:r w:rsidRPr="00025822">
              <w:rPr>
                <w:b/>
              </w:rPr>
              <w:t>Mat og staðfesting</w:t>
            </w:r>
            <w:r w:rsidRPr="00892AAF">
              <w:t xml:space="preserve">: Viðmið eru uppfyllt ef vara er merkt og uppfyllir kröfur viðurkennds umhverfismerkis (Tegund I). Að öðrum kosti, yfirlýsing um samkvæmni við sett viðmið um umbúðir vöru skal veitt. </w:t>
            </w:r>
            <w:r w:rsidR="001F7562" w:rsidRPr="00892AAF">
              <w:t xml:space="preserve">Aðeins </w:t>
            </w:r>
            <w:r w:rsidR="001F7562">
              <w:t>aðalumbúðir</w:t>
            </w:r>
            <w:r w:rsidR="001F7562" w:rsidRPr="00892AAF">
              <w:t xml:space="preserve"> </w:t>
            </w:r>
            <w:r w:rsidR="001F7562">
              <w:t xml:space="preserve">(e. </w:t>
            </w:r>
            <w:proofErr w:type="spellStart"/>
            <w:r w:rsidR="001F7562">
              <w:t>primary</w:t>
            </w:r>
            <w:proofErr w:type="spellEnd"/>
            <w:r w:rsidR="001F7562">
              <w:t xml:space="preserve"> </w:t>
            </w:r>
            <w:proofErr w:type="spellStart"/>
            <w:r w:rsidR="001F7562">
              <w:t>packaging</w:t>
            </w:r>
            <w:proofErr w:type="spellEnd"/>
            <w:r w:rsidR="001F7562">
              <w:t xml:space="preserve">), </w:t>
            </w:r>
            <w:r w:rsidR="001F7562" w:rsidRPr="00892AAF">
              <w:t>eins og þær eru skilgreindar í tilskipun</w:t>
            </w:r>
            <w:r w:rsidR="001F7562">
              <w:t xml:space="preserve"> 94/62/EC, eru háðar viðmiðum</w:t>
            </w:r>
            <w:r w:rsidR="00025822">
              <w:t xml:space="preserve">. </w:t>
            </w:r>
          </w:p>
        </w:tc>
      </w:tr>
      <w:tr w:rsidR="003579FC" w:rsidTr="00565A78">
        <w:tc>
          <w:tcPr>
            <w:tcW w:w="7054" w:type="dxa"/>
          </w:tcPr>
          <w:p w:rsidR="00A05EAE" w:rsidRPr="00A05EAE" w:rsidRDefault="003579FC" w:rsidP="00302DB8">
            <w:pPr>
              <w:rPr>
                <w:b/>
              </w:rPr>
            </w:pPr>
            <w:r w:rsidRPr="00A05EAE">
              <w:rPr>
                <w:b/>
              </w:rPr>
              <w:lastRenderedPageBreak/>
              <w:t xml:space="preserve">8. </w:t>
            </w:r>
            <w:r w:rsidR="00F62144" w:rsidRPr="00A05EAE">
              <w:rPr>
                <w:b/>
              </w:rPr>
              <w:t>Orkust</w:t>
            </w:r>
            <w:r w:rsidR="00F62144">
              <w:rPr>
                <w:b/>
              </w:rPr>
              <w:t>jórnun</w:t>
            </w:r>
            <w:r w:rsidR="00F62144" w:rsidRPr="00A05EAE">
              <w:rPr>
                <w:b/>
              </w:rPr>
              <w:t xml:space="preserve"> vélbúnað</w:t>
            </w:r>
            <w:r w:rsidR="00F62144">
              <w:rPr>
                <w:b/>
              </w:rPr>
              <w:t>ar</w:t>
            </w:r>
          </w:p>
          <w:p w:rsidR="003579FC" w:rsidRPr="003579FC" w:rsidRDefault="003579FC" w:rsidP="00302DB8">
            <w:r w:rsidRPr="003579FC">
              <w:t>Orkustjórn</w:t>
            </w:r>
            <w:r w:rsidR="00375CF1">
              <w:t>un</w:t>
            </w:r>
            <w:r w:rsidRPr="003579FC">
              <w:t xml:space="preserve"> skal vera </w:t>
            </w:r>
            <w:r w:rsidR="00A05EAE">
              <w:t xml:space="preserve">hluti af </w:t>
            </w:r>
            <w:r w:rsidRPr="003579FC">
              <w:t xml:space="preserve">vélbúnaðinum sjálfum (gildir fyrir allar vörur) </w:t>
            </w:r>
          </w:p>
          <w:p w:rsidR="003579FC" w:rsidRPr="00F62144" w:rsidRDefault="003579FC" w:rsidP="003C790F">
            <w:r w:rsidRPr="00A05EAE">
              <w:rPr>
                <w:b/>
              </w:rPr>
              <w:t>Staðfesting</w:t>
            </w:r>
            <w:r w:rsidRPr="003579FC">
              <w:t xml:space="preserve">: Öllum vörum skal fylgja skýr lýsing á </w:t>
            </w:r>
            <w:r w:rsidR="003C790F">
              <w:t>tilvist</w:t>
            </w:r>
            <w:r w:rsidRPr="003579FC">
              <w:t xml:space="preserve">, staðsetningu og </w:t>
            </w:r>
            <w:r w:rsidR="003C790F">
              <w:t>rekstrarforsendum þess búnaðar sem annast</w:t>
            </w:r>
            <w:r w:rsidRPr="003579FC">
              <w:t xml:space="preserve"> orkustjórn</w:t>
            </w:r>
            <w:r w:rsidR="00F62144">
              <w:t xml:space="preserve">un. </w:t>
            </w:r>
          </w:p>
        </w:tc>
        <w:tc>
          <w:tcPr>
            <w:tcW w:w="7166" w:type="dxa"/>
          </w:tcPr>
          <w:p w:rsidR="00A05EAE" w:rsidRPr="00A05EAE" w:rsidRDefault="00A05EAE" w:rsidP="00A05EAE">
            <w:pPr>
              <w:rPr>
                <w:b/>
              </w:rPr>
            </w:pPr>
            <w:r w:rsidRPr="00A05EAE">
              <w:rPr>
                <w:b/>
              </w:rPr>
              <w:t>8. Orkust</w:t>
            </w:r>
            <w:r w:rsidR="00F62144">
              <w:rPr>
                <w:b/>
              </w:rPr>
              <w:t>jórnun</w:t>
            </w:r>
            <w:r w:rsidRPr="00A05EAE">
              <w:rPr>
                <w:b/>
              </w:rPr>
              <w:t xml:space="preserve"> vélbúnað</w:t>
            </w:r>
            <w:r w:rsidR="00F62144">
              <w:rPr>
                <w:b/>
              </w:rPr>
              <w:t>ar</w:t>
            </w:r>
          </w:p>
          <w:p w:rsidR="003579FC" w:rsidRPr="003579FC" w:rsidRDefault="003579FC" w:rsidP="005960B2">
            <w:r w:rsidRPr="003579FC">
              <w:t>Orkustjórn</w:t>
            </w:r>
            <w:r w:rsidR="00F62144">
              <w:t>un</w:t>
            </w:r>
            <w:r w:rsidRPr="003579FC">
              <w:t xml:space="preserve"> skal vera á vélbúnaðinum sjálfum (gildir fyrir allar vörur) </w:t>
            </w:r>
          </w:p>
          <w:p w:rsidR="003579FC" w:rsidRPr="00F62144" w:rsidRDefault="00F62144" w:rsidP="005960B2">
            <w:r w:rsidRPr="00A05EAE">
              <w:rPr>
                <w:b/>
              </w:rPr>
              <w:t>Staðfesting</w:t>
            </w:r>
            <w:r w:rsidRPr="003579FC">
              <w:t xml:space="preserve">: </w:t>
            </w:r>
            <w:r w:rsidR="006565FF" w:rsidRPr="003579FC">
              <w:t xml:space="preserve">Öllum vörum skal fylgja skýr lýsing á </w:t>
            </w:r>
            <w:r w:rsidR="006565FF">
              <w:t>tilvist</w:t>
            </w:r>
            <w:r w:rsidR="006565FF" w:rsidRPr="003579FC">
              <w:t xml:space="preserve">, staðsetningu og </w:t>
            </w:r>
            <w:r w:rsidR="006565FF">
              <w:t>rekstrarforsendum þess búnaðar sem annast</w:t>
            </w:r>
            <w:r w:rsidR="006565FF" w:rsidRPr="003579FC">
              <w:t xml:space="preserve"> orkustjórn</w:t>
            </w:r>
            <w:r w:rsidR="006565FF">
              <w:t>un</w:t>
            </w:r>
            <w:r>
              <w:t xml:space="preserve">. </w:t>
            </w:r>
          </w:p>
        </w:tc>
      </w:tr>
      <w:tr w:rsidR="003579FC" w:rsidTr="00565A78">
        <w:tc>
          <w:tcPr>
            <w:tcW w:w="7054" w:type="dxa"/>
          </w:tcPr>
          <w:p w:rsidR="00F62144" w:rsidRPr="00F62144" w:rsidRDefault="003579FC" w:rsidP="008E4117">
            <w:pPr>
              <w:rPr>
                <w:b/>
              </w:rPr>
            </w:pPr>
            <w:r w:rsidRPr="00F62144">
              <w:rPr>
                <w:b/>
              </w:rPr>
              <w:t xml:space="preserve">9. </w:t>
            </w:r>
            <w:r w:rsidR="00F62144" w:rsidRPr="00F62144">
              <w:rPr>
                <w:b/>
              </w:rPr>
              <w:t>Varahlutir tiltækir</w:t>
            </w:r>
          </w:p>
          <w:p w:rsidR="003579FC" w:rsidRDefault="003C790F" w:rsidP="008E4117">
            <w:r>
              <w:t>Bjóðandi skal ábyrgjast að varahlutir séu</w:t>
            </w:r>
            <w:r w:rsidR="003579FC" w:rsidRPr="00C02E8F">
              <w:t xml:space="preserve"> fáanlegir í</w:t>
            </w:r>
            <w:r w:rsidR="003579FC">
              <w:t xml:space="preserve"> </w:t>
            </w:r>
            <w:r w:rsidR="003579FC" w:rsidRPr="00C02E8F">
              <w:t>a.m.k. 3 ár frá því að framleiðslu vörunnar er hætt.</w:t>
            </w:r>
          </w:p>
          <w:p w:rsidR="003579FC" w:rsidRDefault="003579FC" w:rsidP="00E24CA2">
            <w:pPr>
              <w:rPr>
                <w:b/>
              </w:rPr>
            </w:pPr>
            <w:r w:rsidRPr="00F62144">
              <w:rPr>
                <w:b/>
              </w:rPr>
              <w:t>Staðfesting</w:t>
            </w:r>
            <w:r>
              <w:t xml:space="preserve">: </w:t>
            </w:r>
            <w:r w:rsidRPr="00C02E8F">
              <w:t xml:space="preserve">Viðmið eru uppfyllt ef vara er </w:t>
            </w:r>
            <w:r>
              <w:t xml:space="preserve">merkt og uppfyllir kröfur </w:t>
            </w:r>
            <w:r w:rsidRPr="00C02E8F">
              <w:t>viðurkennd</w:t>
            </w:r>
            <w:r>
              <w:t>s</w:t>
            </w:r>
            <w:r w:rsidRPr="00C02E8F">
              <w:t xml:space="preserve"> umhverfismerki</w:t>
            </w:r>
            <w:r>
              <w:t>s (Tegund I)</w:t>
            </w:r>
            <w:r w:rsidRPr="00C02E8F">
              <w:t>.</w:t>
            </w:r>
            <w:r>
              <w:t xml:space="preserve"> </w:t>
            </w:r>
            <w:r w:rsidRPr="00C02E8F">
              <w:t>Einnig eru samþykkt</w:t>
            </w:r>
            <w:r>
              <w:t xml:space="preserve"> önnur viðeigandi sönnunargögn </w:t>
            </w:r>
            <w:r w:rsidRPr="00C02E8F">
              <w:t>sem staðfesta</w:t>
            </w:r>
            <w:r>
              <w:t xml:space="preserve">  að viðmið hafi verið uppfyllt</w:t>
            </w:r>
            <w:r w:rsidRPr="00C02E8F">
              <w:t>.</w:t>
            </w:r>
          </w:p>
        </w:tc>
        <w:tc>
          <w:tcPr>
            <w:tcW w:w="7166" w:type="dxa"/>
          </w:tcPr>
          <w:p w:rsidR="00F62144" w:rsidRPr="001F7562" w:rsidRDefault="003579FC" w:rsidP="00F62144">
            <w:pPr>
              <w:rPr>
                <w:b/>
              </w:rPr>
            </w:pPr>
            <w:r w:rsidRPr="001F7562">
              <w:rPr>
                <w:b/>
              </w:rPr>
              <w:t xml:space="preserve">9. </w:t>
            </w:r>
            <w:r w:rsidR="00F62144" w:rsidRPr="001F7562">
              <w:rPr>
                <w:b/>
              </w:rPr>
              <w:t>Varahlutir tiltækir</w:t>
            </w:r>
          </w:p>
          <w:p w:rsidR="006565FF" w:rsidRDefault="006565FF" w:rsidP="00F62144">
            <w:r>
              <w:t>Bjóðandi skal ábyrgjast að varahlutir séu</w:t>
            </w:r>
            <w:r w:rsidRPr="00C02E8F">
              <w:t xml:space="preserve"> fáanlegir í</w:t>
            </w:r>
            <w:r>
              <w:t xml:space="preserve"> </w:t>
            </w:r>
            <w:r w:rsidRPr="00C02E8F">
              <w:t>a.m.k. 3 ár frá því að framleiðslu vörunnar er hætt.</w:t>
            </w:r>
          </w:p>
          <w:p w:rsidR="003579FC" w:rsidRDefault="00F62144" w:rsidP="00F62144">
            <w:pPr>
              <w:rPr>
                <w:b/>
              </w:rPr>
            </w:pPr>
            <w:r w:rsidRPr="00F62144">
              <w:rPr>
                <w:b/>
              </w:rPr>
              <w:t>Staðfesting</w:t>
            </w:r>
            <w:r>
              <w:t xml:space="preserve">: </w:t>
            </w:r>
            <w:r w:rsidRPr="00C02E8F">
              <w:t xml:space="preserve">Viðmið eru uppfyllt ef vara er </w:t>
            </w:r>
            <w:r>
              <w:t xml:space="preserve">merkt og uppfyllir kröfur </w:t>
            </w:r>
            <w:r w:rsidRPr="00C02E8F">
              <w:t>viðurkennd</w:t>
            </w:r>
            <w:r>
              <w:t>s</w:t>
            </w:r>
            <w:r w:rsidRPr="00C02E8F">
              <w:t xml:space="preserve"> umhverfismerki</w:t>
            </w:r>
            <w:r>
              <w:t>s (Tegund I)</w:t>
            </w:r>
            <w:r w:rsidRPr="00C02E8F">
              <w:t>.</w:t>
            </w:r>
            <w:r>
              <w:t xml:space="preserve"> </w:t>
            </w:r>
            <w:r w:rsidRPr="00C02E8F">
              <w:t>Einnig eru samþykkt</w:t>
            </w:r>
            <w:r>
              <w:t xml:space="preserve"> önnur viðeigandi sönnunargögn </w:t>
            </w:r>
            <w:r w:rsidRPr="00C02E8F">
              <w:t>sem staðfesta</w:t>
            </w:r>
            <w:r>
              <w:t xml:space="preserve">  að viðmið hafi verið uppfyllt</w:t>
            </w:r>
            <w:r w:rsidRPr="00C02E8F">
              <w:t>.</w:t>
            </w:r>
          </w:p>
        </w:tc>
      </w:tr>
      <w:tr w:rsidR="003579FC" w:rsidTr="00565A78">
        <w:tc>
          <w:tcPr>
            <w:tcW w:w="7054" w:type="dxa"/>
            <w:tcBorders>
              <w:bottom w:val="single" w:sz="4" w:space="0" w:color="auto"/>
            </w:tcBorders>
          </w:tcPr>
          <w:p w:rsidR="003579FC" w:rsidRDefault="003579FC" w:rsidP="008E4117"/>
        </w:tc>
        <w:tc>
          <w:tcPr>
            <w:tcW w:w="7166" w:type="dxa"/>
            <w:tcBorders>
              <w:bottom w:val="single" w:sz="4" w:space="0" w:color="auto"/>
            </w:tcBorders>
          </w:tcPr>
          <w:p w:rsidR="003579FC" w:rsidRPr="00C02E8F" w:rsidRDefault="001F7562" w:rsidP="00E24CA2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>
              <w:rPr>
                <w:b/>
              </w:rPr>
              <w:t>10</w:t>
            </w:r>
            <w:r w:rsidR="003579FC" w:rsidRPr="00C02E8F">
              <w:rPr>
                <w:b/>
              </w:rPr>
              <w:t xml:space="preserve">. </w:t>
            </w:r>
            <w:r w:rsidR="00F62144">
              <w:rPr>
                <w:b/>
              </w:rPr>
              <w:t>Hættuleg e</w:t>
            </w:r>
            <w:r w:rsidR="003579FC" w:rsidRPr="00C02E8F">
              <w:rPr>
                <w:b/>
              </w:rPr>
              <w:t>fni í plast</w:t>
            </w:r>
            <w:r w:rsidR="00F62144">
              <w:rPr>
                <w:b/>
              </w:rPr>
              <w:t>i</w:t>
            </w:r>
          </w:p>
          <w:p w:rsidR="003579FC" w:rsidRPr="00C02E8F" w:rsidRDefault="003579FC" w:rsidP="00E24CA2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C02E8F">
              <w:t xml:space="preserve">Hlutar úr plasti sem vega meira en 25 g, skulu ekki innihalda eldtefjandi efni eða efnablöndur sem </w:t>
            </w:r>
            <w:r w:rsidR="00F62144">
              <w:t>um gilda</w:t>
            </w:r>
            <w:r w:rsidRPr="00C02E8F">
              <w:t xml:space="preserve"> einhverja af eftirfarandi hættusetningum eins og tilgreint er í tilskipun </w:t>
            </w:r>
            <w:r>
              <w:t>nr. 1272/2008</w:t>
            </w:r>
            <w:r w:rsidRPr="00C02E8F">
              <w:t xml:space="preserve">: </w:t>
            </w:r>
          </w:p>
          <w:p w:rsidR="003579FC" w:rsidRPr="00C02E8F" w:rsidRDefault="003579FC" w:rsidP="00E24CA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</w:pPr>
            <w:r w:rsidRPr="00C02E8F">
              <w:t xml:space="preserve">H45 (krabbameinsvaldandi) </w:t>
            </w:r>
          </w:p>
          <w:p w:rsidR="003579FC" w:rsidRPr="00C02E8F" w:rsidRDefault="003579FC" w:rsidP="00E24CA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</w:pPr>
            <w:r w:rsidRPr="00C02E8F">
              <w:lastRenderedPageBreak/>
              <w:t>H46 (</w:t>
            </w:r>
            <w:r w:rsidR="00F62144">
              <w:t>stökkbreytivaldandi</w:t>
            </w:r>
            <w:r w:rsidRPr="00C02E8F">
              <w:t xml:space="preserve">) </w:t>
            </w:r>
          </w:p>
          <w:p w:rsidR="003579FC" w:rsidRPr="00C02E8F" w:rsidRDefault="003579FC" w:rsidP="00E24CA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</w:pPr>
            <w:r w:rsidRPr="00C02E8F">
              <w:t>H60 (getur dregið úr frjósemi)</w:t>
            </w:r>
          </w:p>
          <w:p w:rsidR="003579FC" w:rsidRPr="00C02E8F" w:rsidRDefault="003579FC" w:rsidP="00E24CA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</w:pPr>
            <w:r w:rsidRPr="00C02E8F">
              <w:t>H61 (getur skaðað barn í móðurkviði).</w:t>
            </w:r>
          </w:p>
          <w:p w:rsidR="003579FC" w:rsidRDefault="003579FC" w:rsidP="00E24CA2">
            <w:r w:rsidRPr="00C02E8F">
              <w:rPr>
                <w:b/>
              </w:rPr>
              <w:t xml:space="preserve">Staðfesting: </w:t>
            </w:r>
            <w:r w:rsidRPr="00C02E8F">
              <w:t xml:space="preserve">Viðmið eru uppfyllt ef vara er </w:t>
            </w:r>
            <w:r>
              <w:t xml:space="preserve">merkt og uppfyllir kröfur </w:t>
            </w:r>
            <w:r w:rsidRPr="00C02E8F">
              <w:t>viðurkennd</w:t>
            </w:r>
            <w:r>
              <w:t>s</w:t>
            </w:r>
            <w:r w:rsidRPr="00C02E8F">
              <w:t xml:space="preserve"> umhverfismerki</w:t>
            </w:r>
            <w:r>
              <w:t>s (Tegund I)</w:t>
            </w:r>
            <w:r w:rsidRPr="00C02E8F">
              <w:t>.</w:t>
            </w:r>
            <w:r>
              <w:t xml:space="preserve"> </w:t>
            </w:r>
            <w:r w:rsidRPr="00C02E8F">
              <w:t>Einnig eru samþykkt</w:t>
            </w:r>
            <w:r>
              <w:t xml:space="preserve"> önnur viðeigandi sönnunargögn </w:t>
            </w:r>
            <w:r w:rsidRPr="00C02E8F">
              <w:t>sem staðfesta</w:t>
            </w:r>
            <w:r>
              <w:t xml:space="preserve">  að viðmið hafi verið uppfyllt</w:t>
            </w:r>
            <w:r w:rsidRPr="00C02E8F">
              <w:t>.</w:t>
            </w:r>
          </w:p>
        </w:tc>
      </w:tr>
      <w:tr w:rsidR="003579FC" w:rsidTr="00565A78">
        <w:tc>
          <w:tcPr>
            <w:tcW w:w="7054" w:type="dxa"/>
            <w:shd w:val="clear" w:color="auto" w:fill="92D050"/>
          </w:tcPr>
          <w:p w:rsidR="003579FC" w:rsidRPr="00073FBC" w:rsidRDefault="003579FC" w:rsidP="00092635">
            <w:pPr>
              <w:rPr>
                <w:b/>
              </w:rPr>
            </w:pPr>
            <w:r w:rsidRPr="00073FBC">
              <w:rPr>
                <w:b/>
              </w:rPr>
              <w:lastRenderedPageBreak/>
              <w:t>MATSVIÐMIÐ</w:t>
            </w:r>
          </w:p>
        </w:tc>
        <w:tc>
          <w:tcPr>
            <w:tcW w:w="7166" w:type="dxa"/>
            <w:shd w:val="clear" w:color="auto" w:fill="92D050"/>
          </w:tcPr>
          <w:p w:rsidR="003579FC" w:rsidRPr="00073FBC" w:rsidRDefault="003579FC" w:rsidP="00092635">
            <w:pPr>
              <w:rPr>
                <w:rFonts w:cs="Times New Roman"/>
                <w:b/>
                <w:szCs w:val="24"/>
              </w:rPr>
            </w:pPr>
            <w:r w:rsidRPr="00073FBC">
              <w:rPr>
                <w:b/>
              </w:rPr>
              <w:t>MATSVIÐMIÐ</w:t>
            </w:r>
          </w:p>
        </w:tc>
      </w:tr>
      <w:tr w:rsidR="003579FC" w:rsidTr="00565A78">
        <w:tc>
          <w:tcPr>
            <w:tcW w:w="7054" w:type="dxa"/>
          </w:tcPr>
          <w:p w:rsidR="003579FC" w:rsidRPr="00457441" w:rsidRDefault="003579FC" w:rsidP="0045744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457441">
              <w:rPr>
                <w:b/>
              </w:rPr>
              <w:t xml:space="preserve">Hönnun </w:t>
            </w:r>
          </w:p>
          <w:p w:rsidR="003579FC" w:rsidRPr="00C02E8F" w:rsidRDefault="00BE7958" w:rsidP="00E24CA2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t>Aukastig er</w:t>
            </w:r>
            <w:r w:rsidR="003C790F">
              <w:t>u</w:t>
            </w:r>
            <w:r>
              <w:t xml:space="preserve"> veitt fyrir ef </w:t>
            </w:r>
            <w:r w:rsidR="003C790F">
              <w:t>auðvelt er að taka búnaðinn sundur og endurvinna plasthluti</w:t>
            </w:r>
            <w:r w:rsidR="003579FC" w:rsidRPr="00C02E8F">
              <w:t xml:space="preserve">: </w:t>
            </w:r>
          </w:p>
          <w:p w:rsidR="003579FC" w:rsidRPr="00C02E8F" w:rsidRDefault="003579FC" w:rsidP="00E24CA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ind w:hanging="582"/>
            </w:pPr>
            <w:r w:rsidRPr="00C02E8F">
              <w:t>Tengingar séu auðfinnanlegar</w:t>
            </w:r>
            <w:r w:rsidR="003C790F">
              <w:t>,</w:t>
            </w:r>
            <w:r w:rsidRPr="00C02E8F">
              <w:t xml:space="preserve"> aðgengilegar með </w:t>
            </w:r>
            <w:r w:rsidR="003C790F">
              <w:t>venjulegum</w:t>
            </w:r>
            <w:r w:rsidR="003C790F" w:rsidRPr="00C02E8F">
              <w:t xml:space="preserve"> </w:t>
            </w:r>
            <w:r w:rsidRPr="00C02E8F">
              <w:t>verkfærum</w:t>
            </w:r>
            <w:r w:rsidR="003C790F">
              <w:t xml:space="preserve"> og helst af stöðluðu tagi</w:t>
            </w:r>
            <w:r w:rsidRPr="00C02E8F">
              <w:t>.</w:t>
            </w:r>
          </w:p>
          <w:p w:rsidR="003579FC" w:rsidRPr="00C02E8F" w:rsidRDefault="00930CC3" w:rsidP="00BE795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ind w:hanging="582"/>
            </w:pPr>
            <w:r>
              <w:t>P</w:t>
            </w:r>
            <w:r w:rsidR="003579FC">
              <w:t>last</w:t>
            </w:r>
            <w:r w:rsidR="003579FC" w:rsidRPr="00C02E8F">
              <w:t>hlut</w:t>
            </w:r>
            <w:r w:rsidR="003579FC">
              <w:t>ir</w:t>
            </w:r>
            <w:r w:rsidR="003579FC" w:rsidRPr="00C02E8F">
              <w:t xml:space="preserve"> þyngri en 25g</w:t>
            </w:r>
            <w:r w:rsidR="003579FC">
              <w:t xml:space="preserve"> skulu vera </w:t>
            </w:r>
            <w:r w:rsidR="003C790F">
              <w:t xml:space="preserve">varanlega </w:t>
            </w:r>
            <w:r w:rsidR="003579FC">
              <w:t>merktir innihaldsefni</w:t>
            </w:r>
            <w:r w:rsidR="003579FC" w:rsidRPr="00C02E8F">
              <w:t>,</w:t>
            </w:r>
            <w:r w:rsidR="003579FC">
              <w:t xml:space="preserve"> samkvæmt</w:t>
            </w:r>
            <w:r w:rsidR="003579FC" w:rsidRPr="00C02E8F">
              <w:t xml:space="preserve"> ISO 11469:2000</w:t>
            </w:r>
            <w:r w:rsidR="003579FC">
              <w:t xml:space="preserve"> eða jafngildum staðli</w:t>
            </w:r>
            <w:r w:rsidR="003579FC" w:rsidRPr="00C02E8F">
              <w:t xml:space="preserve">. Undanþegin þessu viðmiði eru efni úr </w:t>
            </w:r>
            <w:r w:rsidR="00A67F74">
              <w:t>út</w:t>
            </w:r>
            <w:r w:rsidR="003579FC" w:rsidRPr="00C02E8F">
              <w:t xml:space="preserve">pressuðu </w:t>
            </w:r>
            <w:r w:rsidR="00A67F74">
              <w:t xml:space="preserve">(e. </w:t>
            </w:r>
            <w:proofErr w:type="spellStart"/>
            <w:r w:rsidR="00A67F74">
              <w:t>extruded</w:t>
            </w:r>
            <w:proofErr w:type="spellEnd"/>
            <w:r w:rsidR="00A67F74">
              <w:t xml:space="preserve">) </w:t>
            </w:r>
            <w:r w:rsidR="003579FC" w:rsidRPr="00C02E8F">
              <w:t>plasti og ljósbeinir í flötum skjá.</w:t>
            </w:r>
            <w:r w:rsidR="00BE7958">
              <w:t xml:space="preserve"> </w:t>
            </w:r>
            <w:r w:rsidR="003579FC" w:rsidRPr="00C02E8F">
              <w:t>Plasthlutir skulu vera úr einni fjölliðu eða sam</w:t>
            </w:r>
            <w:r w:rsidR="00BE7958">
              <w:t xml:space="preserve">hæfðum (e. </w:t>
            </w:r>
            <w:proofErr w:type="spellStart"/>
            <w:r w:rsidR="00A67F74">
              <w:t>compatible</w:t>
            </w:r>
            <w:proofErr w:type="spellEnd"/>
            <w:r w:rsidR="00BE7958">
              <w:t>)</w:t>
            </w:r>
            <w:r w:rsidR="003579FC" w:rsidRPr="00C02E8F">
              <w:t xml:space="preserve"> fjölliðum, nema hlífin, sem skal ekki vera úr fleiri en tveimur aðskiljanlegum fjölliðum.</w:t>
            </w:r>
          </w:p>
          <w:p w:rsidR="003579FC" w:rsidRDefault="003579FC" w:rsidP="002515B3">
            <w:r w:rsidRPr="005960B2">
              <w:rPr>
                <w:b/>
              </w:rPr>
              <w:t xml:space="preserve">Staðfesting: </w:t>
            </w:r>
            <w:r w:rsidR="002515B3" w:rsidRPr="002515B3">
              <w:t>Ský</w:t>
            </w:r>
            <w:r w:rsidRPr="002515B3">
              <w:t>r</w:t>
            </w:r>
            <w:r w:rsidRPr="005960B2">
              <w:t xml:space="preserve">sla </w:t>
            </w:r>
            <w:r w:rsidR="002515B3">
              <w:t>sem greinir ítarlega frá því hvernig</w:t>
            </w:r>
            <w:r w:rsidR="00BE7958">
              <w:t xml:space="preserve"> skuli hluta í sundur </w:t>
            </w:r>
            <w:r w:rsidRPr="005960B2">
              <w:t xml:space="preserve">tölvuna. </w:t>
            </w:r>
            <w:r w:rsidR="00BE7958">
              <w:t>Í skýrslunni skal vera</w:t>
            </w:r>
            <w:r w:rsidRPr="005960B2">
              <w:t xml:space="preserve"> </w:t>
            </w:r>
            <w:r w:rsidR="00A67F74">
              <w:t>samsetningar</w:t>
            </w:r>
            <w:r w:rsidRPr="005960B2">
              <w:t xml:space="preserve">mynd af tölvunni þar sem helstu íhlutir eru merktir sem og merking hættulegra efna. </w:t>
            </w:r>
            <w:r w:rsidR="00BE7958">
              <w:t>Skýrslan má vera</w:t>
            </w:r>
            <w:r w:rsidR="005960B2" w:rsidRPr="005960B2">
              <w:t xml:space="preserve"> skrifleg eða </w:t>
            </w:r>
            <w:r w:rsidR="00BE7958">
              <w:t>sem myndband</w:t>
            </w:r>
            <w:r w:rsidR="005960B2" w:rsidRPr="005960B2">
              <w:t xml:space="preserve">. Upplýsingar um hættuleg efni skulu </w:t>
            </w:r>
            <w:r w:rsidR="00BE7958">
              <w:t xml:space="preserve">fylgja sem </w:t>
            </w:r>
            <w:r w:rsidR="005960B2" w:rsidRPr="005960B2">
              <w:t>efn</w:t>
            </w:r>
            <w:r w:rsidR="00BE7958">
              <w:t>a</w:t>
            </w:r>
            <w:r w:rsidR="005960B2" w:rsidRPr="005960B2">
              <w:t>list</w:t>
            </w:r>
            <w:r w:rsidR="00BE7958">
              <w:t>i</w:t>
            </w:r>
            <w:r w:rsidR="005960B2" w:rsidRPr="005960B2">
              <w:t xml:space="preserve"> þar sem </w:t>
            </w:r>
            <w:r w:rsidR="00BE7958">
              <w:t xml:space="preserve">auðkennd eru </w:t>
            </w:r>
            <w:r w:rsidR="005960B2" w:rsidRPr="005960B2">
              <w:t>efni, gerð</w:t>
            </w:r>
            <w:r w:rsidR="00BE7958">
              <w:t xml:space="preserve"> þeirra, </w:t>
            </w:r>
            <w:r w:rsidR="005960B2" w:rsidRPr="005960B2">
              <w:t xml:space="preserve"> magn </w:t>
            </w:r>
            <w:r w:rsidR="00BE7958">
              <w:t>og staðsetning</w:t>
            </w:r>
            <w:r w:rsidR="005960B2" w:rsidRPr="005960B2">
              <w:t xml:space="preserve">. </w:t>
            </w:r>
            <w:r w:rsidR="00BE7958">
              <w:t xml:space="preserve"> </w:t>
            </w:r>
          </w:p>
        </w:tc>
        <w:tc>
          <w:tcPr>
            <w:tcW w:w="7166" w:type="dxa"/>
          </w:tcPr>
          <w:p w:rsidR="003579FC" w:rsidRPr="00457441" w:rsidRDefault="003579FC" w:rsidP="0045744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457441">
              <w:rPr>
                <w:b/>
              </w:rPr>
              <w:t xml:space="preserve">Hönnun </w:t>
            </w:r>
          </w:p>
          <w:p w:rsidR="003579FC" w:rsidRPr="00C02E8F" w:rsidRDefault="00A470FB" w:rsidP="00E24CA2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t>Aukastig eru veitt fyrir ef auðvelt er að taka búnaðinn sundur og endurvinna plasthluti</w:t>
            </w:r>
            <w:r w:rsidR="003579FC" w:rsidRPr="00C02E8F">
              <w:t xml:space="preserve">: </w:t>
            </w:r>
          </w:p>
          <w:p w:rsidR="003579FC" w:rsidRPr="00C02E8F" w:rsidRDefault="006565FF" w:rsidP="006565F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ind w:hanging="582"/>
            </w:pPr>
            <w:r w:rsidRPr="00C02E8F">
              <w:t>Tengingar séu auðfinnanlegar</w:t>
            </w:r>
            <w:r>
              <w:t>,</w:t>
            </w:r>
            <w:r w:rsidRPr="00C02E8F">
              <w:t xml:space="preserve"> aðgengilegar með </w:t>
            </w:r>
            <w:r>
              <w:t>venjulegum</w:t>
            </w:r>
            <w:r w:rsidRPr="00C02E8F">
              <w:t xml:space="preserve"> verkfærum</w:t>
            </w:r>
            <w:r>
              <w:t xml:space="preserve"> og helst af stöðluðu tagi</w:t>
            </w:r>
            <w:r w:rsidR="003579FC" w:rsidRPr="00C02E8F">
              <w:t>.</w:t>
            </w:r>
          </w:p>
          <w:p w:rsidR="003579FC" w:rsidRPr="00C02E8F" w:rsidRDefault="00A470FB" w:rsidP="00BE795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ind w:hanging="582"/>
            </w:pPr>
            <w:r>
              <w:t>Plast</w:t>
            </w:r>
            <w:r w:rsidRPr="00C02E8F">
              <w:t>hlut</w:t>
            </w:r>
            <w:r>
              <w:t>ir</w:t>
            </w:r>
            <w:r w:rsidRPr="00C02E8F">
              <w:t xml:space="preserve"> þyngri en 25g</w:t>
            </w:r>
            <w:r>
              <w:t xml:space="preserve"> skulu vera varanlega merktir innihaldsefni</w:t>
            </w:r>
            <w:r w:rsidRPr="00C02E8F">
              <w:t>,</w:t>
            </w:r>
            <w:r>
              <w:t xml:space="preserve"> samkvæmt</w:t>
            </w:r>
            <w:r w:rsidRPr="00C02E8F">
              <w:t xml:space="preserve"> ISO 11469:2000</w:t>
            </w:r>
            <w:r>
              <w:t xml:space="preserve"> eða jafngildum staðli</w:t>
            </w:r>
            <w:r w:rsidRPr="00C02E8F">
              <w:t xml:space="preserve">. Undanþegin þessu viðmiði eru efni úr </w:t>
            </w:r>
            <w:r>
              <w:t>út</w:t>
            </w:r>
            <w:r w:rsidRPr="00C02E8F">
              <w:t xml:space="preserve">pressuðu </w:t>
            </w:r>
            <w:r>
              <w:t xml:space="preserve">(e. </w:t>
            </w:r>
            <w:proofErr w:type="spellStart"/>
            <w:r>
              <w:t>extruded</w:t>
            </w:r>
            <w:proofErr w:type="spellEnd"/>
            <w:r>
              <w:t xml:space="preserve">) </w:t>
            </w:r>
            <w:r w:rsidRPr="00C02E8F">
              <w:t>plasti og ljósbeinir í flötum skjá.</w:t>
            </w:r>
            <w:r>
              <w:t xml:space="preserve"> </w:t>
            </w:r>
            <w:r w:rsidRPr="00C02E8F">
              <w:t>Plasthlutir skulu vera úr einni fjölliðu eða sam</w:t>
            </w:r>
            <w:r>
              <w:t xml:space="preserve">hæfðum (e. </w:t>
            </w:r>
            <w:proofErr w:type="spellStart"/>
            <w:r>
              <w:t>compatible</w:t>
            </w:r>
            <w:proofErr w:type="spellEnd"/>
            <w:r>
              <w:t>)</w:t>
            </w:r>
            <w:r w:rsidRPr="00C02E8F">
              <w:t xml:space="preserve"> fjölliðum, nema hlífin, sem skal ekki vera úr fleiri en tveimur aðskiljanlegum fjölliðum</w:t>
            </w:r>
            <w:r w:rsidR="003579FC" w:rsidRPr="00C02E8F">
              <w:t>.</w:t>
            </w:r>
          </w:p>
          <w:p w:rsidR="003579FC" w:rsidRDefault="005960B2" w:rsidP="002515B3">
            <w:r w:rsidRPr="005960B2">
              <w:rPr>
                <w:b/>
              </w:rPr>
              <w:t xml:space="preserve">Staðfesting: </w:t>
            </w:r>
            <w:r w:rsidR="002515B3" w:rsidRPr="002515B3">
              <w:t>Skýr</w:t>
            </w:r>
            <w:r w:rsidR="002515B3" w:rsidRPr="005960B2">
              <w:t xml:space="preserve">sla </w:t>
            </w:r>
            <w:r w:rsidR="002515B3">
              <w:t xml:space="preserve">sem greinir ítarlega frá því hvernig skuli hluta í sundur </w:t>
            </w:r>
            <w:r w:rsidR="002515B3">
              <w:t>tölvuna</w:t>
            </w:r>
            <w:r w:rsidR="00BE7958" w:rsidRPr="005960B2">
              <w:t xml:space="preserve">. </w:t>
            </w:r>
            <w:r w:rsidR="00BE7958">
              <w:t>Í skýrslunni skal vera</w:t>
            </w:r>
            <w:r w:rsidR="00BE7958" w:rsidRPr="005960B2">
              <w:t xml:space="preserve"> </w:t>
            </w:r>
            <w:r w:rsidR="002515B3">
              <w:t>samsetningarmynd</w:t>
            </w:r>
            <w:r w:rsidR="00BE7958" w:rsidRPr="005960B2">
              <w:t xml:space="preserve"> af tölvunni þar sem helstu íhlutir eru merktir sem og merking hættulegra efna. </w:t>
            </w:r>
            <w:r w:rsidR="00BE7958">
              <w:t>Skýrslan má vera</w:t>
            </w:r>
            <w:r w:rsidR="00BE7958" w:rsidRPr="005960B2">
              <w:t xml:space="preserve"> skrifleg eða </w:t>
            </w:r>
            <w:r w:rsidR="00BE7958">
              <w:t>sem myndband</w:t>
            </w:r>
            <w:r w:rsidR="00BE7958" w:rsidRPr="005960B2">
              <w:t xml:space="preserve">. Upplýsingar um hættuleg efni skulu </w:t>
            </w:r>
            <w:r w:rsidR="00BE7958">
              <w:t xml:space="preserve">fylgja sem </w:t>
            </w:r>
            <w:r w:rsidR="00BE7958" w:rsidRPr="005960B2">
              <w:t>efn</w:t>
            </w:r>
            <w:r w:rsidR="00BE7958">
              <w:t>a</w:t>
            </w:r>
            <w:r w:rsidR="00BE7958" w:rsidRPr="005960B2">
              <w:t>list</w:t>
            </w:r>
            <w:r w:rsidR="00BE7958">
              <w:t>i</w:t>
            </w:r>
            <w:r w:rsidR="00BE7958" w:rsidRPr="005960B2">
              <w:t xml:space="preserve"> þar sem </w:t>
            </w:r>
            <w:r w:rsidR="00BE7958">
              <w:t xml:space="preserve">auðkennd eru </w:t>
            </w:r>
            <w:r w:rsidR="00BE7958" w:rsidRPr="005960B2">
              <w:t>efni, gerð</w:t>
            </w:r>
            <w:r w:rsidR="00BE7958">
              <w:t xml:space="preserve"> þeirra, </w:t>
            </w:r>
            <w:r w:rsidR="00BE7958" w:rsidRPr="005960B2">
              <w:t xml:space="preserve"> magn </w:t>
            </w:r>
            <w:r w:rsidR="00BE7958">
              <w:t>og staðsetning</w:t>
            </w:r>
            <w:r w:rsidR="00BE7958" w:rsidRPr="005960B2">
              <w:t xml:space="preserve">. </w:t>
            </w:r>
            <w:r w:rsidR="00BE7958">
              <w:t xml:space="preserve"> </w:t>
            </w:r>
          </w:p>
        </w:tc>
      </w:tr>
      <w:tr w:rsidR="003579FC" w:rsidTr="00565A78">
        <w:tc>
          <w:tcPr>
            <w:tcW w:w="7054" w:type="dxa"/>
          </w:tcPr>
          <w:p w:rsidR="003579FC" w:rsidRDefault="003579FC" w:rsidP="008E4117"/>
        </w:tc>
        <w:tc>
          <w:tcPr>
            <w:tcW w:w="7166" w:type="dxa"/>
            <w:shd w:val="clear" w:color="auto" w:fill="auto"/>
          </w:tcPr>
          <w:p w:rsidR="003579FC" w:rsidRPr="006563EC" w:rsidRDefault="006563EC" w:rsidP="006563EC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6563EC">
              <w:rPr>
                <w:b/>
              </w:rPr>
              <w:t xml:space="preserve">Endurunnið innihald og endurvinnanleiki (fyrir einkatölvur, </w:t>
            </w:r>
            <w:r w:rsidRPr="006563EC">
              <w:rPr>
                <w:b/>
              </w:rPr>
              <w:lastRenderedPageBreak/>
              <w:t xml:space="preserve">fartölvur og skjái) </w:t>
            </w:r>
          </w:p>
          <w:p w:rsidR="003579FC" w:rsidRPr="00017217" w:rsidRDefault="005960B2" w:rsidP="00E24CA2">
            <w:r w:rsidRPr="00003278">
              <w:t xml:space="preserve">Aukastig eru veitt ef </w:t>
            </w:r>
            <w:r w:rsidR="00A67F74">
              <w:t>plasthús</w:t>
            </w:r>
            <w:r w:rsidRPr="00003278">
              <w:t xml:space="preserve"> tölvu</w:t>
            </w:r>
            <w:r w:rsidR="00017217">
              <w:t>nnar</w:t>
            </w:r>
            <w:r w:rsidRPr="00003278">
              <w:t xml:space="preserve">, skjásins og lyklaborðsins </w:t>
            </w:r>
            <w:r w:rsidR="00017217">
              <w:t xml:space="preserve">er að lágmarki úr </w:t>
            </w:r>
            <w:r w:rsidRPr="00017217">
              <w:t xml:space="preserve">10% </w:t>
            </w:r>
            <w:r w:rsidR="00017217" w:rsidRPr="00017217">
              <w:t>endurunn</w:t>
            </w:r>
            <w:r w:rsidR="00017217">
              <w:t>u</w:t>
            </w:r>
            <w:r w:rsidR="00017217" w:rsidRPr="00017217">
              <w:t xml:space="preserve"> efni.</w:t>
            </w:r>
            <w:r w:rsidR="003579FC" w:rsidRPr="00017217">
              <w:t xml:space="preserve">  </w:t>
            </w:r>
          </w:p>
          <w:p w:rsidR="003579FC" w:rsidRPr="00003278" w:rsidRDefault="005960B2" w:rsidP="00E24CA2">
            <w:r w:rsidRPr="00017217">
              <w:t xml:space="preserve">Staðfesting: Yfirlýsing frá framleiðanda </w:t>
            </w:r>
            <w:r w:rsidR="00003278" w:rsidRPr="00017217">
              <w:t>þar sem hlutfall</w:t>
            </w:r>
            <w:r w:rsidR="00017217">
              <w:t xml:space="preserve"> efnis frá endurvinnslu</w:t>
            </w:r>
            <w:r w:rsidR="00003278" w:rsidRPr="00003278">
              <w:t xml:space="preserve"> kemur fram. </w:t>
            </w:r>
          </w:p>
        </w:tc>
      </w:tr>
    </w:tbl>
    <w:p w:rsidR="00F404FF" w:rsidRPr="00F404FF" w:rsidRDefault="00F404FF" w:rsidP="00E24CA2">
      <w:pPr>
        <w:pStyle w:val="Heading3"/>
        <w:numPr>
          <w:ilvl w:val="0"/>
          <w:numId w:val="0"/>
        </w:numPr>
      </w:pPr>
    </w:p>
    <w:sectPr w:rsidR="00F404FF" w:rsidRPr="00F404FF" w:rsidSect="00AF11B2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FF" w:rsidRDefault="006565FF" w:rsidP="00F51B15">
      <w:pPr>
        <w:spacing w:after="0" w:line="240" w:lineRule="auto"/>
      </w:pPr>
      <w:r>
        <w:separator/>
      </w:r>
    </w:p>
  </w:endnote>
  <w:endnote w:type="continuationSeparator" w:id="0">
    <w:p w:rsidR="006565FF" w:rsidRDefault="006565FF" w:rsidP="00F5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FF" w:rsidRPr="00F51B15" w:rsidRDefault="006565FF" w:rsidP="00F51B15">
    <w:pPr>
      <w:pStyle w:val="Footer"/>
      <w:jc w:val="right"/>
      <w:rPr>
        <w:sz w:val="22"/>
      </w:rPr>
    </w:pPr>
    <w:r w:rsidRPr="00F51B15">
      <w:rPr>
        <w:noProof/>
        <w:sz w:val="22"/>
      </w:rPr>
      <w:fldChar w:fldCharType="begin"/>
    </w:r>
    <w:r w:rsidRPr="00F51B15">
      <w:rPr>
        <w:noProof/>
        <w:sz w:val="22"/>
      </w:rPr>
      <w:instrText xml:space="preserve"> PAGE  \* Arabic  \* MERGEFORMAT </w:instrText>
    </w:r>
    <w:r w:rsidRPr="00F51B15">
      <w:rPr>
        <w:noProof/>
        <w:sz w:val="22"/>
      </w:rPr>
      <w:fldChar w:fldCharType="separate"/>
    </w:r>
    <w:r w:rsidR="00A451F7">
      <w:rPr>
        <w:noProof/>
        <w:sz w:val="22"/>
      </w:rPr>
      <w:t>4</w:t>
    </w:r>
    <w:r w:rsidRPr="00F51B15">
      <w:rPr>
        <w:noProof/>
        <w:sz w:val="22"/>
      </w:rPr>
      <w:fldChar w:fldCharType="end"/>
    </w:r>
    <w:r w:rsidRPr="00F51B15">
      <w:rPr>
        <w:noProof/>
        <w:sz w:val="22"/>
      </w:rPr>
      <w:t xml:space="preserve"> / </w:t>
    </w:r>
    <w:r w:rsidRPr="00F51B15">
      <w:rPr>
        <w:noProof/>
        <w:sz w:val="22"/>
      </w:rPr>
      <w:fldChar w:fldCharType="begin"/>
    </w:r>
    <w:r w:rsidRPr="00F51B15">
      <w:rPr>
        <w:noProof/>
        <w:sz w:val="22"/>
      </w:rPr>
      <w:instrText xml:space="preserve"> NUMPAGES  \* Arabic  \* MERGEFORMAT </w:instrText>
    </w:r>
    <w:r w:rsidRPr="00F51B15">
      <w:rPr>
        <w:noProof/>
        <w:sz w:val="22"/>
      </w:rPr>
      <w:fldChar w:fldCharType="separate"/>
    </w:r>
    <w:r w:rsidR="00A451F7">
      <w:rPr>
        <w:noProof/>
        <w:sz w:val="22"/>
      </w:rPr>
      <w:t>9</w:t>
    </w:r>
    <w:r w:rsidRPr="00F51B1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FF" w:rsidRDefault="006565FF" w:rsidP="00F51B15">
      <w:pPr>
        <w:spacing w:after="0" w:line="240" w:lineRule="auto"/>
      </w:pPr>
      <w:r>
        <w:separator/>
      </w:r>
    </w:p>
  </w:footnote>
  <w:footnote w:type="continuationSeparator" w:id="0">
    <w:p w:rsidR="006565FF" w:rsidRDefault="006565FF" w:rsidP="00F5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FF" w:rsidRDefault="006565FF">
    <w:pPr>
      <w:pStyle w:val="Header"/>
      <w:rPr>
        <w:color w:val="808080" w:themeColor="background1" w:themeShade="80"/>
      </w:rPr>
    </w:pPr>
    <w:r>
      <w:rPr>
        <w:noProof/>
        <w:color w:val="808080" w:themeColor="background1" w:themeShade="80"/>
        <w:lang w:eastAsia="is-IS"/>
      </w:rPr>
      <w:drawing>
        <wp:inline distT="0" distB="0" distL="0" distR="0" wp14:anchorId="3A78634E" wp14:editId="37867736">
          <wp:extent cx="1282535" cy="47423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g texti VISTVÆN INNKA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537" cy="47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65FF" w:rsidRPr="000A49FB" w:rsidRDefault="006565FF">
    <w:pPr>
      <w:pStyle w:val="Head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878"/>
    <w:multiLevelType w:val="hybridMultilevel"/>
    <w:tmpl w:val="379A94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E2B0B"/>
    <w:multiLevelType w:val="hybridMultilevel"/>
    <w:tmpl w:val="5E567D02"/>
    <w:lvl w:ilvl="0" w:tplc="989C1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F20E5"/>
    <w:multiLevelType w:val="hybridMultilevel"/>
    <w:tmpl w:val="D66A6000"/>
    <w:lvl w:ilvl="0" w:tplc="15D86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A150A"/>
    <w:multiLevelType w:val="hybridMultilevel"/>
    <w:tmpl w:val="CE3C515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00EB8"/>
    <w:multiLevelType w:val="hybridMultilevel"/>
    <w:tmpl w:val="BE08CE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A7F52"/>
    <w:multiLevelType w:val="hybridMultilevel"/>
    <w:tmpl w:val="ED0C821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1387B"/>
    <w:multiLevelType w:val="hybridMultilevel"/>
    <w:tmpl w:val="68725138"/>
    <w:lvl w:ilvl="0" w:tplc="989C1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D3CBB"/>
    <w:multiLevelType w:val="hybridMultilevel"/>
    <w:tmpl w:val="20D010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F48FC"/>
    <w:multiLevelType w:val="hybridMultilevel"/>
    <w:tmpl w:val="603434A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42DC3"/>
    <w:multiLevelType w:val="hybridMultilevel"/>
    <w:tmpl w:val="038A07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E592F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63016D74"/>
    <w:multiLevelType w:val="hybridMultilevel"/>
    <w:tmpl w:val="D1F8B76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50010"/>
    <w:multiLevelType w:val="hybridMultilevel"/>
    <w:tmpl w:val="0480222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E63AD"/>
    <w:multiLevelType w:val="hybridMultilevel"/>
    <w:tmpl w:val="531E2F2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D8"/>
    <w:rsid w:val="00000E76"/>
    <w:rsid w:val="00003278"/>
    <w:rsid w:val="00005FC7"/>
    <w:rsid w:val="00017217"/>
    <w:rsid w:val="00025822"/>
    <w:rsid w:val="000602C8"/>
    <w:rsid w:val="00060318"/>
    <w:rsid w:val="00092635"/>
    <w:rsid w:val="000A49FB"/>
    <w:rsid w:val="000C7D51"/>
    <w:rsid w:val="001126E0"/>
    <w:rsid w:val="001F7562"/>
    <w:rsid w:val="0021289D"/>
    <w:rsid w:val="002278F4"/>
    <w:rsid w:val="00242C34"/>
    <w:rsid w:val="002515B3"/>
    <w:rsid w:val="00302DB8"/>
    <w:rsid w:val="0031770A"/>
    <w:rsid w:val="00322212"/>
    <w:rsid w:val="00327C97"/>
    <w:rsid w:val="003373AF"/>
    <w:rsid w:val="003579FC"/>
    <w:rsid w:val="0036658D"/>
    <w:rsid w:val="00375CF1"/>
    <w:rsid w:val="003837AA"/>
    <w:rsid w:val="00387D3E"/>
    <w:rsid w:val="003B351C"/>
    <w:rsid w:val="003C790F"/>
    <w:rsid w:val="003F0DF5"/>
    <w:rsid w:val="00453087"/>
    <w:rsid w:val="00457441"/>
    <w:rsid w:val="004A0DED"/>
    <w:rsid w:val="004C54E4"/>
    <w:rsid w:val="004E1109"/>
    <w:rsid w:val="00552137"/>
    <w:rsid w:val="00554EC5"/>
    <w:rsid w:val="00565A78"/>
    <w:rsid w:val="005960B2"/>
    <w:rsid w:val="005E34EF"/>
    <w:rsid w:val="0064618B"/>
    <w:rsid w:val="006563EC"/>
    <w:rsid w:val="006565FF"/>
    <w:rsid w:val="00692497"/>
    <w:rsid w:val="006C3AB6"/>
    <w:rsid w:val="007566D8"/>
    <w:rsid w:val="0077730F"/>
    <w:rsid w:val="007D7FC8"/>
    <w:rsid w:val="007F665A"/>
    <w:rsid w:val="008052D0"/>
    <w:rsid w:val="00820EEC"/>
    <w:rsid w:val="00821F05"/>
    <w:rsid w:val="00827C7D"/>
    <w:rsid w:val="0088779F"/>
    <w:rsid w:val="00892AAF"/>
    <w:rsid w:val="008B3F3D"/>
    <w:rsid w:val="008C3511"/>
    <w:rsid w:val="008E4117"/>
    <w:rsid w:val="00930CC3"/>
    <w:rsid w:val="00A05EAE"/>
    <w:rsid w:val="00A451F7"/>
    <w:rsid w:val="00A4696C"/>
    <w:rsid w:val="00A470FB"/>
    <w:rsid w:val="00A67F74"/>
    <w:rsid w:val="00AC62B2"/>
    <w:rsid w:val="00AF11B2"/>
    <w:rsid w:val="00AF6929"/>
    <w:rsid w:val="00B748F9"/>
    <w:rsid w:val="00B81D8E"/>
    <w:rsid w:val="00B87B11"/>
    <w:rsid w:val="00BC1D2C"/>
    <w:rsid w:val="00BE7958"/>
    <w:rsid w:val="00C234AD"/>
    <w:rsid w:val="00C513FF"/>
    <w:rsid w:val="00CB092D"/>
    <w:rsid w:val="00D26046"/>
    <w:rsid w:val="00D43523"/>
    <w:rsid w:val="00D439B1"/>
    <w:rsid w:val="00DB3015"/>
    <w:rsid w:val="00DF3610"/>
    <w:rsid w:val="00DF7FCE"/>
    <w:rsid w:val="00E24CA2"/>
    <w:rsid w:val="00E41CC5"/>
    <w:rsid w:val="00E701CB"/>
    <w:rsid w:val="00EB4170"/>
    <w:rsid w:val="00EC03D3"/>
    <w:rsid w:val="00F404FF"/>
    <w:rsid w:val="00F51A67"/>
    <w:rsid w:val="00F51B15"/>
    <w:rsid w:val="00F62144"/>
    <w:rsid w:val="00FA7B60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5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FB"/>
    <w:pPr>
      <w:keepNext/>
      <w:keepLines/>
      <w:numPr>
        <w:numId w:val="1"/>
      </w:num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480" w:after="240"/>
      <w:ind w:left="431" w:hanging="431"/>
      <w:outlineLvl w:val="0"/>
    </w:pPr>
    <w:rPr>
      <w:rFonts w:eastAsiaTheme="majorEastAsia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6D8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6D8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6D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6D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6D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6D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6D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6D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9FB"/>
    <w:rPr>
      <w:rFonts w:ascii="Times New Roman" w:eastAsiaTheme="majorEastAsia" w:hAnsi="Times New Roman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66D8"/>
    <w:rPr>
      <w:rFonts w:ascii="Times New Roman" w:eastAsiaTheme="majorEastAsia" w:hAnsi="Times New Roman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6D8"/>
    <w:rPr>
      <w:rFonts w:ascii="Times New Roman" w:eastAsiaTheme="majorEastAsia" w:hAnsi="Times New Roman" w:cstheme="majorBidi"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6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6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6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6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1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5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ill">
    <w:name w:val="Titill"/>
    <w:basedOn w:val="Normal"/>
    <w:qFormat/>
    <w:rsid w:val="000A49FB"/>
    <w:pPr>
      <w:spacing w:before="120" w:line="240" w:lineRule="auto"/>
    </w:pPr>
    <w:rPr>
      <w:b/>
      <w:smallCaps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1B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F11B2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1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1B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11B2"/>
    <w:rPr>
      <w:vertAlign w:val="superscript"/>
    </w:rPr>
  </w:style>
  <w:style w:type="paragraph" w:customStyle="1" w:styleId="TableBodyBottom">
    <w:name w:val="TableBody Bottom"/>
    <w:basedOn w:val="Normal"/>
    <w:rsid w:val="000C7D51"/>
    <w:pPr>
      <w:spacing w:after="80" w:line="180" w:lineRule="exact"/>
    </w:pPr>
    <w:rPr>
      <w:rFonts w:ascii="Arial" w:eastAsia="Times New Roman" w:hAnsi="Arial" w:cs="Times New Roman"/>
      <w:sz w:val="14"/>
      <w:szCs w:val="20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8E4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11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117"/>
    <w:rPr>
      <w:rFonts w:ascii="Times New Roman" w:hAnsi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351C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5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FB"/>
    <w:pPr>
      <w:keepNext/>
      <w:keepLines/>
      <w:numPr>
        <w:numId w:val="1"/>
      </w:num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480" w:after="240"/>
      <w:ind w:left="431" w:hanging="431"/>
      <w:outlineLvl w:val="0"/>
    </w:pPr>
    <w:rPr>
      <w:rFonts w:eastAsiaTheme="majorEastAsia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6D8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6D8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6D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6D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6D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6D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6D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6D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9FB"/>
    <w:rPr>
      <w:rFonts w:ascii="Times New Roman" w:eastAsiaTheme="majorEastAsia" w:hAnsi="Times New Roman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66D8"/>
    <w:rPr>
      <w:rFonts w:ascii="Times New Roman" w:eastAsiaTheme="majorEastAsia" w:hAnsi="Times New Roman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6D8"/>
    <w:rPr>
      <w:rFonts w:ascii="Times New Roman" w:eastAsiaTheme="majorEastAsia" w:hAnsi="Times New Roman" w:cstheme="majorBidi"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6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6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6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6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1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5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ill">
    <w:name w:val="Titill"/>
    <w:basedOn w:val="Normal"/>
    <w:qFormat/>
    <w:rsid w:val="000A49FB"/>
    <w:pPr>
      <w:spacing w:before="120" w:line="240" w:lineRule="auto"/>
    </w:pPr>
    <w:rPr>
      <w:b/>
      <w:smallCaps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1B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F11B2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1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1B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11B2"/>
    <w:rPr>
      <w:vertAlign w:val="superscript"/>
    </w:rPr>
  </w:style>
  <w:style w:type="paragraph" w:customStyle="1" w:styleId="TableBodyBottom">
    <w:name w:val="TableBody Bottom"/>
    <w:basedOn w:val="Normal"/>
    <w:rsid w:val="000C7D51"/>
    <w:pPr>
      <w:spacing w:after="80" w:line="180" w:lineRule="exact"/>
    </w:pPr>
    <w:rPr>
      <w:rFonts w:ascii="Arial" w:eastAsia="Times New Roman" w:hAnsi="Arial" w:cs="Times New Roman"/>
      <w:sz w:val="14"/>
      <w:szCs w:val="20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8E4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11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117"/>
    <w:rPr>
      <w:rFonts w:ascii="Times New Roman" w:hAnsi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351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c.europa.eu/environment/gpp/toolkit_e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nn.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3EB2-FCB0-4186-AFDE-CBB9F160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 ehf</Company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Alta</cp:lastModifiedBy>
  <cp:revision>13</cp:revision>
  <cp:lastPrinted>2012-08-10T13:10:00Z</cp:lastPrinted>
  <dcterms:created xsi:type="dcterms:W3CDTF">2012-08-10T11:06:00Z</dcterms:created>
  <dcterms:modified xsi:type="dcterms:W3CDTF">2012-08-10T13:17:00Z</dcterms:modified>
</cp:coreProperties>
</file>