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7"/>
        <w:gridCol w:w="1011"/>
        <w:gridCol w:w="1728"/>
      </w:tblGrid>
      <w:tr w:rsidR="00F51B15" w:rsidTr="000A49FB">
        <w:trPr>
          <w:trHeight w:val="680"/>
        </w:trPr>
        <w:tc>
          <w:tcPr>
            <w:tcW w:w="6487" w:type="dxa"/>
            <w:vMerge w:val="restart"/>
            <w:vAlign w:val="center"/>
          </w:tcPr>
          <w:p w:rsidR="00F51B15" w:rsidRPr="000A49FB" w:rsidRDefault="006F7952" w:rsidP="006F7952">
            <w:pPr>
              <w:pStyle w:val="Titill"/>
            </w:pPr>
            <w:r w:rsidRPr="006F7952">
              <w:rPr>
                <w:sz w:val="32"/>
              </w:rPr>
              <w:t>HÓTELÞJÓNUSTA</w:t>
            </w:r>
            <w:r w:rsidR="00F51B15" w:rsidRPr="006F7952">
              <w:rPr>
                <w:sz w:val="32"/>
              </w:rPr>
              <w:t xml:space="preserve"> - </w:t>
            </w:r>
            <w:r w:rsidR="00F51B15" w:rsidRPr="000A49FB">
              <w:t>umhverfisskilyrði</w:t>
            </w:r>
          </w:p>
        </w:tc>
        <w:tc>
          <w:tcPr>
            <w:tcW w:w="1011" w:type="dxa"/>
            <w:vAlign w:val="bottom"/>
          </w:tcPr>
          <w:p w:rsidR="00F51B15" w:rsidRDefault="00F51B15">
            <w:r>
              <w:t>Dags.</w:t>
            </w:r>
          </w:p>
        </w:tc>
        <w:tc>
          <w:tcPr>
            <w:tcW w:w="1728" w:type="dxa"/>
            <w:vAlign w:val="bottom"/>
          </w:tcPr>
          <w:p w:rsidR="00F51B15" w:rsidRDefault="00F51B15" w:rsidP="006F7952">
            <w:pPr>
              <w:jc w:val="right"/>
            </w:pPr>
            <w:r>
              <w:t>201</w:t>
            </w:r>
            <w:r w:rsidR="006F7952">
              <w:t>2</w:t>
            </w:r>
            <w:r>
              <w:t>-</w:t>
            </w:r>
            <w:r w:rsidR="006F7952">
              <w:t>08</w:t>
            </w:r>
            <w:r>
              <w:t>-</w:t>
            </w:r>
            <w:r w:rsidR="006F7952">
              <w:t>30</w:t>
            </w:r>
          </w:p>
        </w:tc>
      </w:tr>
      <w:tr w:rsidR="00F51B15" w:rsidTr="000A49FB">
        <w:trPr>
          <w:trHeight w:val="680"/>
        </w:trPr>
        <w:tc>
          <w:tcPr>
            <w:tcW w:w="6487" w:type="dxa"/>
            <w:vMerge/>
            <w:vAlign w:val="center"/>
          </w:tcPr>
          <w:p w:rsidR="00F51B15" w:rsidRDefault="00F51B15"/>
        </w:tc>
        <w:tc>
          <w:tcPr>
            <w:tcW w:w="1011" w:type="dxa"/>
            <w:vAlign w:val="bottom"/>
          </w:tcPr>
          <w:p w:rsidR="00F51B15" w:rsidRDefault="00F51B15">
            <w:r>
              <w:t>Útgáfa</w:t>
            </w:r>
          </w:p>
        </w:tc>
        <w:tc>
          <w:tcPr>
            <w:tcW w:w="1728" w:type="dxa"/>
            <w:vAlign w:val="bottom"/>
          </w:tcPr>
          <w:p w:rsidR="00F51B15" w:rsidRDefault="000A49FB" w:rsidP="006F7952">
            <w:pPr>
              <w:jc w:val="right"/>
            </w:pPr>
            <w:r>
              <w:t>1.</w:t>
            </w:r>
            <w:r w:rsidR="006F7952">
              <w:t>1</w:t>
            </w:r>
          </w:p>
        </w:tc>
      </w:tr>
    </w:tbl>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8" w:history="1">
        <w:r w:rsidRPr="00E06B88">
          <w:rPr>
            <w:rStyle w:val="Hyperlink"/>
          </w:rPr>
          <w:t>www.vinn.is</w:t>
        </w:r>
      </w:hyperlink>
      <w:r>
        <w:t xml:space="preserve">. </w:t>
      </w:r>
    </w:p>
    <w:p w:rsidR="006F7952" w:rsidRDefault="006F7952" w:rsidP="006F7952">
      <w:r w:rsidRPr="005A69AD">
        <w:t xml:space="preserve">Umhverfisskilyrðin eru byggð á viðmiðum </w:t>
      </w:r>
      <w:r>
        <w:t>umhverfismerkja svo sem norræn</w:t>
      </w:r>
      <w:r w:rsidR="00353EC9">
        <w:t>a</w:t>
      </w:r>
      <w:r>
        <w:t xml:space="preserve"> Svaninum og Evrópublóminu</w:t>
      </w:r>
      <w:r w:rsidRPr="005A69AD">
        <w:t xml:space="preserve">. </w:t>
      </w:r>
    </w:p>
    <w:p w:rsidR="006F7952" w:rsidRPr="005A69AD" w:rsidRDefault="006F7952" w:rsidP="006F7952">
      <w:r>
        <w:rPr>
          <w:noProof/>
          <w:lang w:eastAsia="is-IS"/>
        </w:rPr>
        <w:drawing>
          <wp:anchor distT="0" distB="0" distL="114300" distR="114300" simplePos="0" relativeHeight="251661312" behindDoc="1" locked="0" layoutInCell="1" allowOverlap="1" wp14:anchorId="6420E31E" wp14:editId="5CB5DD39">
            <wp:simplePos x="0" y="0"/>
            <wp:positionH relativeFrom="column">
              <wp:posOffset>987425</wp:posOffset>
            </wp:positionH>
            <wp:positionV relativeFrom="paragraph">
              <wp:posOffset>3175</wp:posOffset>
            </wp:positionV>
            <wp:extent cx="560705" cy="560705"/>
            <wp:effectExtent l="0" t="0" r="0" b="0"/>
            <wp:wrapTight wrapText="bothSides">
              <wp:wrapPolygon edited="0">
                <wp:start x="0" y="0"/>
                <wp:lineTo x="0" y="20548"/>
                <wp:lineTo x="20548" y="20548"/>
                <wp:lineTo x="20548" y="0"/>
                <wp:lineTo x="0" y="0"/>
              </wp:wrapPolygon>
            </wp:wrapTight>
            <wp:docPr id="5" name="Picture 5" descr="blomid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id_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is-IS"/>
        </w:rPr>
        <w:drawing>
          <wp:inline distT="0" distB="0" distL="0" distR="0" wp14:anchorId="6CD90026" wp14:editId="5BE7B05B">
            <wp:extent cx="623135" cy="629070"/>
            <wp:effectExtent l="0" t="0" r="5715" b="0"/>
            <wp:docPr id="4" name="Picture 1" descr="Svansmerki_RGB_enginn-texti_2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nsmerki_RGB_enginn-texti_200x201"/>
                    <pic:cNvPicPr>
                      <a:picLocks noChangeAspect="1" noChangeArrowheads="1"/>
                    </pic:cNvPicPr>
                  </pic:nvPicPr>
                  <pic:blipFill>
                    <a:blip r:embed="rId10" cstate="print"/>
                    <a:srcRect/>
                    <a:stretch>
                      <a:fillRect/>
                    </a:stretch>
                  </pic:blipFill>
                  <pic:spPr bwMode="auto">
                    <a:xfrm>
                      <a:off x="0" y="0"/>
                      <a:ext cx="625344" cy="631300"/>
                    </a:xfrm>
                    <a:prstGeom prst="rect">
                      <a:avLst/>
                    </a:prstGeom>
                    <a:noFill/>
                    <a:ln w="9525">
                      <a:noFill/>
                      <a:miter lim="800000"/>
                      <a:headEnd/>
                      <a:tailEnd/>
                    </a:ln>
                  </pic:spPr>
                </pic:pic>
              </a:graphicData>
            </a:graphic>
          </wp:inline>
        </w:drawing>
      </w:r>
    </w:p>
    <w:p w:rsidR="006F7952" w:rsidRDefault="006F7952" w:rsidP="00DA346D"/>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2A0F11" w:rsidRPr="00DD1129" w:rsidRDefault="00DA346D" w:rsidP="00DA346D">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p>
    <w:p w:rsidR="007566D8" w:rsidRPr="00353EC9" w:rsidRDefault="00353EC9" w:rsidP="002A0F11">
      <w:pPr>
        <w:rPr>
          <w:i/>
        </w:rPr>
      </w:pPr>
      <w:r w:rsidRPr="00353EC9">
        <w:rPr>
          <w:i/>
        </w:rPr>
        <w:t>Umhverfisskilyrði fyrir hótelþjónustu eru eingöngu matsviðmið.</w:t>
      </w:r>
    </w:p>
    <w:p w:rsidR="007566D8" w:rsidRPr="00F51B15" w:rsidRDefault="00F404FF" w:rsidP="007D3928">
      <w:pPr>
        <w:pStyle w:val="Heading1"/>
        <w:numPr>
          <w:ilvl w:val="0"/>
          <w:numId w:val="0"/>
        </w:numPr>
        <w:ind w:left="431" w:hanging="431"/>
      </w:pPr>
      <w:r>
        <w:t>Helstu umhverfisáhrif</w:t>
      </w:r>
    </w:p>
    <w:tbl>
      <w:tblPr>
        <w:tblStyle w:val="TableGrid"/>
        <w:tblW w:w="0" w:type="auto"/>
        <w:tblLook w:val="04A0" w:firstRow="1" w:lastRow="0" w:firstColumn="1" w:lastColumn="0" w:noHBand="0" w:noVBand="1"/>
      </w:tblPr>
      <w:tblGrid>
        <w:gridCol w:w="4677"/>
        <w:gridCol w:w="4611"/>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6F7952" w:rsidP="00980979">
            <w:pPr>
              <w:rPr>
                <w:b/>
              </w:rPr>
            </w:pPr>
            <w:r>
              <w:rPr>
                <w:b/>
              </w:rPr>
              <w:t xml:space="preserve">Nálgun </w:t>
            </w:r>
          </w:p>
        </w:tc>
      </w:tr>
      <w:tr w:rsidR="007D3928" w:rsidTr="00980979">
        <w:tc>
          <w:tcPr>
            <w:tcW w:w="7072" w:type="dxa"/>
          </w:tcPr>
          <w:p w:rsidR="006F7952" w:rsidRPr="007C2171" w:rsidRDefault="006F7952" w:rsidP="006F7952">
            <w:pPr>
              <w:pStyle w:val="ListParagraph"/>
              <w:numPr>
                <w:ilvl w:val="0"/>
                <w:numId w:val="3"/>
              </w:numPr>
              <w:spacing w:after="200"/>
              <w:rPr>
                <w:szCs w:val="24"/>
              </w:rPr>
            </w:pPr>
            <w:r w:rsidRPr="007C2171">
              <w:rPr>
                <w:szCs w:val="24"/>
              </w:rPr>
              <w:t>Loftslagsbreytingar vegna orkunotkunar</w:t>
            </w:r>
          </w:p>
          <w:p w:rsidR="006F7952" w:rsidRPr="007C2171" w:rsidRDefault="006F7952" w:rsidP="006F7952">
            <w:pPr>
              <w:pStyle w:val="ListParagraph"/>
              <w:numPr>
                <w:ilvl w:val="0"/>
                <w:numId w:val="3"/>
              </w:numPr>
              <w:spacing w:after="200"/>
              <w:rPr>
                <w:szCs w:val="24"/>
              </w:rPr>
            </w:pPr>
            <w:r w:rsidRPr="007C2171">
              <w:rPr>
                <w:szCs w:val="24"/>
              </w:rPr>
              <w:t xml:space="preserve">Loftlagsbreytingar vegna losunar metans (þ.e. gróðurhúsalofttegunda) frá matarúrgangi á urðunarstöðum </w:t>
            </w:r>
          </w:p>
          <w:p w:rsidR="006F7952" w:rsidRPr="007C2171" w:rsidRDefault="006F7952" w:rsidP="006F7952">
            <w:pPr>
              <w:pStyle w:val="ListParagraph"/>
              <w:numPr>
                <w:ilvl w:val="0"/>
                <w:numId w:val="3"/>
              </w:numPr>
              <w:spacing w:after="200"/>
              <w:rPr>
                <w:szCs w:val="24"/>
              </w:rPr>
            </w:pPr>
            <w:r w:rsidRPr="003455BF">
              <w:rPr>
                <w:noProof/>
                <w:lang w:eastAsia="is-IS"/>
              </w:rPr>
              <mc:AlternateContent>
                <mc:Choice Requires="wps">
                  <w:drawing>
                    <wp:anchor distT="0" distB="0" distL="114300" distR="114300" simplePos="0" relativeHeight="251663360" behindDoc="0" locked="0" layoutInCell="1" allowOverlap="1" wp14:anchorId="333BFF01" wp14:editId="1FB28DB3">
                      <wp:simplePos x="0" y="0"/>
                      <wp:positionH relativeFrom="column">
                        <wp:posOffset>2565400</wp:posOffset>
                      </wp:positionH>
                      <wp:positionV relativeFrom="paragraph">
                        <wp:posOffset>36195</wp:posOffset>
                      </wp:positionV>
                      <wp:extent cx="572135" cy="396240"/>
                      <wp:effectExtent l="19050" t="19050" r="37465" b="41910"/>
                      <wp:wrapNone/>
                      <wp:docPr id="1" name="Notched Right Arrow 1"/>
                      <wp:cNvGraphicFramePr/>
                      <a:graphic xmlns:a="http://schemas.openxmlformats.org/drawingml/2006/main">
                        <a:graphicData uri="http://schemas.microsoft.com/office/word/2010/wordprocessingShape">
                          <wps:wsp>
                            <wps:cNvSpPr/>
                            <wps:spPr>
                              <a:xfrm>
                                <a:off x="0" y="0"/>
                                <a:ext cx="572135" cy="396240"/>
                              </a:xfrm>
                              <a:prstGeom prst="notchedRightArrow">
                                <a:avLst/>
                              </a:prstGeom>
                              <a:solidFill>
                                <a:srgbClr val="92D05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02pt;margin-top:2.85pt;width:45.05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" adj="14120" fillcolor="#92d050" strokecolor="windowText" strokeweight=".25pt"/>
                  </w:pict>
                </mc:Fallback>
              </mc:AlternateContent>
            </w:r>
            <w:r w:rsidRPr="007C2171">
              <w:rPr>
                <w:szCs w:val="24"/>
              </w:rPr>
              <w:t>Skortur á óendurnýjanlegum orkugjöfum (t.d. olíu og gas</w:t>
            </w:r>
            <w:r>
              <w:rPr>
                <w:szCs w:val="24"/>
              </w:rPr>
              <w:t>)</w:t>
            </w:r>
            <w:r w:rsidRPr="007C2171">
              <w:rPr>
                <w:szCs w:val="24"/>
              </w:rPr>
              <w:t>.</w:t>
            </w:r>
          </w:p>
          <w:p w:rsidR="006F7952" w:rsidRPr="007C2171" w:rsidRDefault="006F7952" w:rsidP="006F7952">
            <w:pPr>
              <w:pStyle w:val="ListParagraph"/>
              <w:numPr>
                <w:ilvl w:val="0"/>
                <w:numId w:val="3"/>
              </w:numPr>
              <w:spacing w:after="200"/>
              <w:rPr>
                <w:szCs w:val="24"/>
              </w:rPr>
            </w:pPr>
            <w:r w:rsidRPr="007C2171">
              <w:rPr>
                <w:szCs w:val="24"/>
              </w:rPr>
              <w:t xml:space="preserve">Skortur á óendurnýjanlegum auðlindum.  Álag á umhverfið vegna framleiðslu á óendurnýjanlegum og endurnýjanlegum auðlindum. </w:t>
            </w:r>
          </w:p>
          <w:p w:rsidR="007D3928" w:rsidRPr="00F43E05" w:rsidRDefault="006F7952" w:rsidP="006F7952">
            <w:pPr>
              <w:pStyle w:val="ListParagraph"/>
              <w:numPr>
                <w:ilvl w:val="0"/>
                <w:numId w:val="3"/>
              </w:numPr>
              <w:spacing w:after="200"/>
              <w:rPr>
                <w:rFonts w:cs="Times New Roman"/>
                <w:i/>
                <w:szCs w:val="24"/>
              </w:rPr>
            </w:pPr>
            <w:r w:rsidRPr="007C2171">
              <w:rPr>
                <w:szCs w:val="24"/>
              </w:rPr>
              <w:t>Mengun jarðvegs og yfirborðs- og grunnvatns</w:t>
            </w:r>
          </w:p>
        </w:tc>
        <w:tc>
          <w:tcPr>
            <w:tcW w:w="7072" w:type="dxa"/>
          </w:tcPr>
          <w:p w:rsidR="006F7952" w:rsidRDefault="006F7952" w:rsidP="006F7952">
            <w:pPr>
              <w:pStyle w:val="ListParagraph"/>
              <w:numPr>
                <w:ilvl w:val="0"/>
                <w:numId w:val="3"/>
              </w:numPr>
              <w:spacing w:after="200"/>
              <w:rPr>
                <w:szCs w:val="24"/>
              </w:rPr>
            </w:pPr>
            <w:r w:rsidRPr="007C2171">
              <w:rPr>
                <w:szCs w:val="24"/>
              </w:rPr>
              <w:t>Draga úr orkunotkun við upphitun bygginga</w:t>
            </w:r>
            <w:r>
              <w:rPr>
                <w:szCs w:val="24"/>
              </w:rPr>
              <w:t>,</w:t>
            </w:r>
            <w:r w:rsidRPr="007C2171">
              <w:rPr>
                <w:szCs w:val="24"/>
              </w:rPr>
              <w:t xml:space="preserve"> notkun raftækja og nota endurnýjanlega orkugjafa. </w:t>
            </w:r>
          </w:p>
          <w:p w:rsidR="006F7952" w:rsidRPr="007C2171" w:rsidRDefault="006F7952" w:rsidP="006F7952">
            <w:pPr>
              <w:pStyle w:val="ListParagraph"/>
              <w:numPr>
                <w:ilvl w:val="0"/>
                <w:numId w:val="3"/>
              </w:numPr>
              <w:spacing w:after="200"/>
              <w:rPr>
                <w:szCs w:val="24"/>
              </w:rPr>
            </w:pPr>
            <w:r w:rsidRPr="007C2171">
              <w:rPr>
                <w:szCs w:val="24"/>
              </w:rPr>
              <w:t>Stuðla að fræðslu og umræðum um umhverfismál með notkun umhverfisstjórnunarkerfis</w:t>
            </w:r>
          </w:p>
          <w:p w:rsidR="006F7952" w:rsidRDefault="006F7952" w:rsidP="006F7952">
            <w:pPr>
              <w:pStyle w:val="ListParagraph"/>
              <w:numPr>
                <w:ilvl w:val="0"/>
                <w:numId w:val="3"/>
              </w:numPr>
              <w:spacing w:after="200"/>
              <w:rPr>
                <w:szCs w:val="24"/>
              </w:rPr>
            </w:pPr>
            <w:r w:rsidRPr="007C2171">
              <w:rPr>
                <w:szCs w:val="24"/>
              </w:rPr>
              <w:t xml:space="preserve">Draga úr magni úrgangs, bæta </w:t>
            </w:r>
            <w:r>
              <w:rPr>
                <w:szCs w:val="24"/>
              </w:rPr>
              <w:t>flokkun og endurvinnslu úrgangs</w:t>
            </w:r>
          </w:p>
          <w:p w:rsidR="007D3928" w:rsidRPr="00F43E05" w:rsidRDefault="006F7952" w:rsidP="006F7952">
            <w:pPr>
              <w:pStyle w:val="ListParagraph"/>
              <w:numPr>
                <w:ilvl w:val="0"/>
                <w:numId w:val="3"/>
              </w:numPr>
              <w:spacing w:after="200"/>
              <w:rPr>
                <w:rFonts w:cs="Times New Roman"/>
                <w:i/>
                <w:szCs w:val="24"/>
              </w:rPr>
            </w:pPr>
            <w:r w:rsidRPr="007C2171">
              <w:rPr>
                <w:szCs w:val="24"/>
              </w:rPr>
              <w:t>Viðeigandi hreinsun skólps og flokkun spilliefna</w:t>
            </w:r>
          </w:p>
        </w:tc>
      </w:tr>
    </w:tbl>
    <w:p w:rsidR="00F404FF" w:rsidRDefault="006F7952" w:rsidP="00F404FF">
      <w:pPr>
        <w:pStyle w:val="Heading1"/>
      </w:pPr>
      <w:r>
        <w:lastRenderedPageBreak/>
        <w:t>HÓTELÞJÓNUSTA</w:t>
      </w:r>
    </w:p>
    <w:tbl>
      <w:tblPr>
        <w:tblStyle w:val="TableGrid1"/>
        <w:tblW w:w="9464" w:type="dxa"/>
        <w:tblLayout w:type="fixed"/>
        <w:tblLook w:val="04A0" w:firstRow="1" w:lastRow="0" w:firstColumn="1" w:lastColumn="0" w:noHBand="0" w:noVBand="1"/>
      </w:tblPr>
      <w:tblGrid>
        <w:gridCol w:w="9464"/>
      </w:tblGrid>
      <w:tr w:rsidR="006F7952" w:rsidRPr="00994DE5" w:rsidTr="005C34F0">
        <w:tc>
          <w:tcPr>
            <w:tcW w:w="9464" w:type="dxa"/>
            <w:shd w:val="clear" w:color="auto" w:fill="FFFF00"/>
          </w:tcPr>
          <w:p w:rsidR="006F7952" w:rsidRPr="00B17204" w:rsidRDefault="006F7952" w:rsidP="005C34F0">
            <w:pPr>
              <w:pStyle w:val="Titill"/>
              <w:ind w:right="-249"/>
            </w:pPr>
            <w:r w:rsidRPr="00B17204">
              <w:t>Grunnviðmið</w:t>
            </w:r>
          </w:p>
        </w:tc>
      </w:tr>
      <w:tr w:rsidR="006F7952" w:rsidRPr="00994DE5" w:rsidTr="005C34F0">
        <w:tc>
          <w:tcPr>
            <w:tcW w:w="9464" w:type="dxa"/>
            <w:shd w:val="clear" w:color="auto" w:fill="92D050"/>
          </w:tcPr>
          <w:p w:rsidR="006F7952" w:rsidRDefault="006F7952" w:rsidP="006F7952">
            <w:pPr>
              <w:rPr>
                <w:b/>
              </w:rPr>
            </w:pPr>
            <w:r>
              <w:rPr>
                <w:b/>
              </w:rPr>
              <w:t xml:space="preserve">MATSSKILYRÐI </w:t>
            </w:r>
          </w:p>
          <w:p w:rsidR="006F7952" w:rsidRPr="006F7952" w:rsidRDefault="006F7952" w:rsidP="006F7952">
            <w:pPr>
              <w:rPr>
                <w:i/>
              </w:rPr>
            </w:pPr>
            <w:r>
              <w:rPr>
                <w:b/>
              </w:rPr>
              <w:t>(</w:t>
            </w:r>
            <w:r w:rsidRPr="007C2171">
              <w:rPr>
                <w:i/>
              </w:rPr>
              <w:t>Um hótelþjónustu gilda engin lágmarksskilyrði</w:t>
            </w:r>
            <w:r>
              <w:rPr>
                <w:i/>
              </w:rPr>
              <w:t>)</w:t>
            </w:r>
          </w:p>
        </w:tc>
      </w:tr>
      <w:tr w:rsidR="006F7952" w:rsidRPr="00994DE5" w:rsidTr="005C34F0">
        <w:tc>
          <w:tcPr>
            <w:tcW w:w="9464" w:type="dxa"/>
          </w:tcPr>
          <w:p w:rsidR="006F7952" w:rsidRPr="007C2171" w:rsidRDefault="006F7952" w:rsidP="006F7952">
            <w:pPr>
              <w:pStyle w:val="ListParagraph"/>
              <w:numPr>
                <w:ilvl w:val="0"/>
                <w:numId w:val="16"/>
              </w:numPr>
              <w:spacing w:after="200"/>
              <w:rPr>
                <w:b/>
              </w:rPr>
            </w:pPr>
            <w:r w:rsidRPr="007C2171">
              <w:rPr>
                <w:b/>
              </w:rPr>
              <w:t xml:space="preserve">Umhverfismerki.  </w:t>
            </w:r>
          </w:p>
          <w:p w:rsidR="006F7952" w:rsidRPr="006F7952" w:rsidRDefault="006F7952" w:rsidP="006F7952">
            <w:r w:rsidRPr="007C2171">
              <w:t xml:space="preserve">Varan þarf að uppfylla skilyrði viðurkennds umhverfismerkis (Tegund I), svo sem norræna Svansins fyrir „hótel og farfuglaheimili“, eða Evrópublómsins fyrir „gistiþjónustu“. Sé þessu skilyrði fullnægt fær bjóðandi fullt hús stiga fyrir matsviðmið og þarf ekki að gera frekari grein fyrir öðrum  matsviðmiðum. </w:t>
            </w:r>
          </w:p>
        </w:tc>
      </w:tr>
      <w:tr w:rsidR="006F7952" w:rsidRPr="00994DE5" w:rsidTr="005C34F0">
        <w:tc>
          <w:tcPr>
            <w:tcW w:w="9464" w:type="dxa"/>
          </w:tcPr>
          <w:p w:rsidR="005C34F0" w:rsidRPr="005C34F0" w:rsidRDefault="005C34F0" w:rsidP="005C34F0">
            <w:pPr>
              <w:pStyle w:val="ListParagraph"/>
              <w:numPr>
                <w:ilvl w:val="0"/>
                <w:numId w:val="16"/>
              </w:numPr>
              <w:spacing w:after="200"/>
              <w:rPr>
                <w:b/>
              </w:rPr>
            </w:pPr>
            <w:r w:rsidRPr="005C34F0">
              <w:rPr>
                <w:b/>
              </w:rPr>
              <w:t>Ljósanotkun</w:t>
            </w:r>
          </w:p>
          <w:p w:rsidR="005C34F0" w:rsidRPr="007C2171" w:rsidRDefault="005C34F0" w:rsidP="005C34F0">
            <w:r w:rsidRPr="007C2171">
              <w:t xml:space="preserve">Ljósanotkun þarf að vera stýrð í a.m.k. 80% gistiherbergja (þ.e. sjálfvirk kerfi sjá um að slökkva ljósin þegar gestir yfirgefa herbergin sín). </w:t>
            </w:r>
          </w:p>
          <w:p w:rsidR="006F7952" w:rsidRPr="005C34F0" w:rsidRDefault="005C34F0" w:rsidP="005C34F0">
            <w:r w:rsidRPr="005C34F0">
              <w:rPr>
                <w:b/>
              </w:rPr>
              <w:t>Staðfesting</w:t>
            </w:r>
            <w:r w:rsidRPr="007C2171">
              <w:t xml:space="preserve">: Viðmið er uppfyllt ef bjóðandi leggur fram undirritaða yfirlýsingu þar að lútandi. Gert er ráð fyrir að kaupandi sannreyni hvort viðmið sé uppfyllt á samningstímabilinu og hann beiti viðeigandi viðurlögum ef viðmið er ekki uppfyllt. </w:t>
            </w:r>
          </w:p>
        </w:tc>
      </w:tr>
      <w:tr w:rsidR="005C34F0" w:rsidRPr="00994DE5" w:rsidTr="005C34F0">
        <w:tc>
          <w:tcPr>
            <w:tcW w:w="9464" w:type="dxa"/>
          </w:tcPr>
          <w:p w:rsidR="005C34F0" w:rsidRPr="005C34F0" w:rsidRDefault="005C34F0" w:rsidP="005C34F0">
            <w:pPr>
              <w:pStyle w:val="ListParagraph"/>
              <w:numPr>
                <w:ilvl w:val="0"/>
                <w:numId w:val="16"/>
              </w:numPr>
              <w:spacing w:after="200"/>
              <w:rPr>
                <w:b/>
              </w:rPr>
            </w:pPr>
            <w:r w:rsidRPr="005C34F0">
              <w:rPr>
                <w:b/>
              </w:rPr>
              <w:t>Sápu- og hársápuskammtarar</w:t>
            </w:r>
          </w:p>
          <w:p w:rsidR="005C34F0" w:rsidRPr="007C2171" w:rsidRDefault="005C34F0" w:rsidP="005C34F0">
            <w:r w:rsidRPr="007C2171">
              <w:t xml:space="preserve">Sápu- og hársápuskammtarar þurfa að vera í a.m.k. 90% gistiherbergja </w:t>
            </w:r>
            <w:r>
              <w:t>til að forðast notkun</w:t>
            </w:r>
            <w:r w:rsidRPr="007C2171">
              <w:t xml:space="preserve"> einnota sápu og hársápu.</w:t>
            </w:r>
          </w:p>
          <w:p w:rsidR="005C34F0" w:rsidRPr="005C34F0" w:rsidRDefault="005C34F0" w:rsidP="005C34F0">
            <w:r w:rsidRPr="005C34F0">
              <w:rPr>
                <w:b/>
              </w:rPr>
              <w:t>Staðfesting</w:t>
            </w:r>
            <w:r w:rsidRPr="007C2171">
              <w:t>: Viðmið er uppfyllt ef bjóðandi leggur fram undirritaða yfirlýsingu þar að lútandi. Gert er ráð fyrir að kaupandi sannreyni hvort viðmið sé uppfyllt á samningstímabilinu og hann beiti viðeigandi viðurlögum ef viðmið er ekki uppfyllt.</w:t>
            </w:r>
          </w:p>
        </w:tc>
      </w:tr>
      <w:tr w:rsidR="005C34F0" w:rsidRPr="00994DE5" w:rsidTr="005C34F0">
        <w:tc>
          <w:tcPr>
            <w:tcW w:w="9464" w:type="dxa"/>
          </w:tcPr>
          <w:p w:rsidR="005C34F0" w:rsidRPr="005C34F0" w:rsidRDefault="005C34F0" w:rsidP="005C34F0">
            <w:pPr>
              <w:pStyle w:val="ListParagraph"/>
              <w:numPr>
                <w:ilvl w:val="0"/>
                <w:numId w:val="16"/>
              </w:numPr>
              <w:spacing w:after="200"/>
              <w:rPr>
                <w:b/>
              </w:rPr>
            </w:pPr>
            <w:r w:rsidRPr="005C34F0">
              <w:rPr>
                <w:b/>
              </w:rPr>
              <w:t>Úrgangur</w:t>
            </w:r>
          </w:p>
          <w:p w:rsidR="005C34F0" w:rsidRPr="007C2171" w:rsidRDefault="005C34F0" w:rsidP="005C34F0">
            <w:r w:rsidRPr="007C2171">
              <w:t>Gest</w:t>
            </w:r>
            <w:r>
              <w:t>ir skulu geta</w:t>
            </w:r>
            <w:r w:rsidRPr="007C2171">
              <w:t xml:space="preserve"> flokka</w:t>
            </w:r>
            <w:r>
              <w:t>ð</w:t>
            </w:r>
            <w:r w:rsidRPr="007C2171">
              <w:t xml:space="preserve"> </w:t>
            </w:r>
            <w:r>
              <w:t>í að lágmarki</w:t>
            </w:r>
            <w:r w:rsidRPr="007C2171">
              <w:t xml:space="preserve"> þrjá </w:t>
            </w:r>
            <w:r>
              <w:t>úrgangs</w:t>
            </w:r>
            <w:r w:rsidRPr="007C2171">
              <w:t xml:space="preserve">flokka og á herbergjunum </w:t>
            </w:r>
            <w:r>
              <w:t xml:space="preserve">skulu </w:t>
            </w:r>
            <w:r w:rsidRPr="007C2171">
              <w:t>vera leiðbeiningar sem útskýra og hvet</w:t>
            </w:r>
            <w:r>
              <w:t>ja gesti til að flokka úrgang</w:t>
            </w:r>
            <w:r w:rsidRPr="007C2171">
              <w:t>. Meðhöndlun úrgangs þarf að v</w:t>
            </w:r>
            <w:r>
              <w:t xml:space="preserve">era í samræmi við löggjöf </w:t>
            </w:r>
            <w:r w:rsidRPr="007C2171">
              <w:t xml:space="preserve">yfirvalda. </w:t>
            </w:r>
          </w:p>
          <w:p w:rsidR="005C34F0" w:rsidRPr="007C2171" w:rsidRDefault="005C34F0" w:rsidP="005C34F0">
            <w:r w:rsidRPr="005C34F0">
              <w:rPr>
                <w:b/>
              </w:rPr>
              <w:t>Staðfesting</w:t>
            </w:r>
            <w:r w:rsidRPr="007C2171">
              <w:t xml:space="preserve">: Viðmið er uppfyllt ef bjóðandi leggur fram undirritaða yfirlýsingu þar að lútandi þar sem einnig kemur fram í hvaða úrgangsflokka gestir eiga kost á að flokka úrganginn.  Gert er ráð fyrir að kaupandi sannreyni hvort viðmið sé uppfyllt á samningstímabilinu og hann beiti viðeigandi viðurlögum ef viðmið er ekki uppfyllt. </w:t>
            </w:r>
          </w:p>
          <w:p w:rsidR="005C34F0" w:rsidRPr="005C34F0" w:rsidRDefault="005C34F0" w:rsidP="005C34F0">
            <w:r w:rsidRPr="007C2171">
              <w:t xml:space="preserve">ATH. Lagt er til að fyrir atriði 2,3 og 4 sem er uppfyllt fáist allt að 15% af heildarstigagjöf fyrir matsviðmið í matslíkani. </w:t>
            </w:r>
          </w:p>
        </w:tc>
      </w:tr>
      <w:tr w:rsidR="006F7952" w:rsidRPr="00994DE5" w:rsidTr="005C34F0">
        <w:tc>
          <w:tcPr>
            <w:tcW w:w="9464" w:type="dxa"/>
            <w:shd w:val="clear" w:color="auto" w:fill="92D050"/>
          </w:tcPr>
          <w:p w:rsidR="006F7952" w:rsidRPr="00994DE5" w:rsidRDefault="005C34F0" w:rsidP="00994DE5">
            <w:pPr>
              <w:spacing w:line="276" w:lineRule="auto"/>
              <w:rPr>
                <w:rFonts w:cs="Times New Roman"/>
                <w:szCs w:val="24"/>
              </w:rPr>
            </w:pPr>
            <w:r w:rsidRPr="00994DE5">
              <w:rPr>
                <w:b/>
              </w:rPr>
              <w:t>ÁKVÆÐI UM FRAMKVÆMD SAMNINGSINS</w:t>
            </w:r>
          </w:p>
        </w:tc>
      </w:tr>
      <w:tr w:rsidR="006F7952" w:rsidRPr="00994DE5" w:rsidTr="000C2C6A">
        <w:trPr>
          <w:trHeight w:val="798"/>
        </w:trPr>
        <w:tc>
          <w:tcPr>
            <w:tcW w:w="9464" w:type="dxa"/>
          </w:tcPr>
          <w:p w:rsidR="005C34F0" w:rsidRPr="007C2171" w:rsidRDefault="005C34F0" w:rsidP="005C34F0">
            <w:r w:rsidRPr="007C2171">
              <w:t>Seljandi (samningshafi)  skal sýna fram á að orkunýtni</w:t>
            </w:r>
            <w:r>
              <w:t xml:space="preserve"> hafi verið aukin</w:t>
            </w:r>
            <w:r w:rsidRPr="007C2171">
              <w:t xml:space="preserve"> og dr</w:t>
            </w:r>
            <w:r>
              <w:t>egið</w:t>
            </w:r>
            <w:r w:rsidRPr="007C2171">
              <w:t xml:space="preserve"> úr áhrifum loftlagsbreytinga</w:t>
            </w:r>
            <w:r>
              <w:t xml:space="preserve"> gistingar,</w:t>
            </w:r>
            <w:r w:rsidRPr="007C2171">
              <w:t xml:space="preserve"> innan tveggja ára frá undirskrift samningsins.  Það má gera t.d. með því að fá fagmenn til þessa að gera úttekt á orkunotkun í húsakynnum og ráðast í tilheyrandi endurbætur. Einnig má óska eftir staðfestingu annarra aðila eða eigin yfirlýsingu um gæða- eða umhverfisstjórnunarkerfi, birgjasamningum, yfirlýsingum sem uppfylla ISO14021 eða staðla  um orkunotkun.</w:t>
            </w:r>
          </w:p>
          <w:p w:rsidR="006F7952" w:rsidRPr="005C34F0" w:rsidRDefault="005C34F0" w:rsidP="005C34F0">
            <w:pPr>
              <w:rPr>
                <w:bCs/>
                <w:smallCaps/>
              </w:rPr>
            </w:pPr>
            <w:r w:rsidRPr="000C2C6A">
              <w:rPr>
                <w:b/>
              </w:rPr>
              <w:lastRenderedPageBreak/>
              <w:t>Staðfesting</w:t>
            </w:r>
            <w:r w:rsidRPr="007C2171">
              <w:t>: Seljandi skal senda kaupanda úttektarskýrsla um orkunotkunina frá fagaðila og aðge</w:t>
            </w:r>
            <w:bookmarkStart w:id="0" w:name="_GoBack"/>
            <w:bookmarkEnd w:id="0"/>
            <w:r w:rsidRPr="007C2171">
              <w:t>rðayfirlit eða sambærileg staðfestingu innan tveggj</w:t>
            </w:r>
            <w:r>
              <w:t>a ára frá undirskrift samnings.</w:t>
            </w:r>
          </w:p>
        </w:tc>
      </w:tr>
    </w:tbl>
    <w:p w:rsidR="00AD29A1" w:rsidRPr="00AD29A1" w:rsidRDefault="00AD29A1" w:rsidP="00AD29A1"/>
    <w:sectPr w:rsidR="00AD29A1" w:rsidRPr="00AD29A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79" w:rsidRDefault="00980979" w:rsidP="00F51B15">
      <w:pPr>
        <w:spacing w:after="0" w:line="240" w:lineRule="auto"/>
      </w:pPr>
      <w:r>
        <w:separator/>
      </w:r>
    </w:p>
  </w:endnote>
  <w:endnote w:type="continuationSeparator" w:id="0">
    <w:p w:rsidR="00980979" w:rsidRDefault="00980979"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Pr="00F51B15" w:rsidRDefault="00980979"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6C3D9B">
      <w:rPr>
        <w:noProof/>
        <w:sz w:val="22"/>
      </w:rPr>
      <w:t>3</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6C3D9B">
      <w:rPr>
        <w:noProof/>
        <w:sz w:val="22"/>
      </w:rPr>
      <w:t>3</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79" w:rsidRDefault="00980979" w:rsidP="00F51B15">
      <w:pPr>
        <w:spacing w:after="0" w:line="240" w:lineRule="auto"/>
      </w:pPr>
      <w:r>
        <w:separator/>
      </w:r>
    </w:p>
  </w:footnote>
  <w:footnote w:type="continuationSeparator" w:id="0">
    <w:p w:rsidR="00980979" w:rsidRDefault="00980979"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rPr>
        <w:color w:val="808080" w:themeColor="background1" w:themeShade="80"/>
      </w:rPr>
    </w:pPr>
    <w:r>
      <w:rPr>
        <w:noProof/>
        <w:color w:val="808080" w:themeColor="background1" w:themeShade="80"/>
        <w:lang w:eastAsia="is-IS"/>
      </w:rPr>
      <w:drawing>
        <wp:inline distT="0" distB="0" distL="0" distR="0" wp14:anchorId="3143FFA6" wp14:editId="18B341DF">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980979" w:rsidRPr="000A49FB" w:rsidRDefault="00980979">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6F78DB"/>
    <w:multiLevelType w:val="hybridMultilevel"/>
    <w:tmpl w:val="B5F860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866629D"/>
    <w:multiLevelType w:val="hybridMultilevel"/>
    <w:tmpl w:val="D31A19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nsid w:val="202C65B5"/>
    <w:multiLevelType w:val="hybridMultilevel"/>
    <w:tmpl w:val="B5F860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A6D4036"/>
    <w:multiLevelType w:val="hybridMultilevel"/>
    <w:tmpl w:val="B5F860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2B8C59F1"/>
    <w:multiLevelType w:val="hybridMultilevel"/>
    <w:tmpl w:val="B5F860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0">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4"/>
  </w:num>
  <w:num w:numId="4">
    <w:abstractNumId w:val="4"/>
  </w:num>
  <w:num w:numId="5">
    <w:abstractNumId w:val="9"/>
  </w:num>
  <w:num w:numId="6">
    <w:abstractNumId w:val="3"/>
  </w:num>
  <w:num w:numId="7">
    <w:abstractNumId w:val="12"/>
  </w:num>
  <w:num w:numId="8">
    <w:abstractNumId w:val="18"/>
  </w:num>
  <w:num w:numId="9">
    <w:abstractNumId w:val="17"/>
  </w:num>
  <w:num w:numId="10">
    <w:abstractNumId w:val="13"/>
  </w:num>
  <w:num w:numId="11">
    <w:abstractNumId w:val="11"/>
  </w:num>
  <w:num w:numId="12">
    <w:abstractNumId w:val="15"/>
  </w:num>
  <w:num w:numId="13">
    <w:abstractNumId w:val="6"/>
  </w:num>
  <w:num w:numId="14">
    <w:abstractNumId w:val="10"/>
  </w:num>
  <w:num w:numId="15">
    <w:abstractNumId w:val="2"/>
  </w:num>
  <w:num w:numId="16">
    <w:abstractNumId w:val="5"/>
  </w:num>
  <w:num w:numId="17">
    <w:abstractNumId w:val="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A49FB"/>
    <w:rsid w:val="000C2C6A"/>
    <w:rsid w:val="002A0F11"/>
    <w:rsid w:val="002F57F8"/>
    <w:rsid w:val="003373AF"/>
    <w:rsid w:val="00353EC9"/>
    <w:rsid w:val="00454FC9"/>
    <w:rsid w:val="005C34F0"/>
    <w:rsid w:val="006C3D9B"/>
    <w:rsid w:val="006F7952"/>
    <w:rsid w:val="007566D8"/>
    <w:rsid w:val="007D3928"/>
    <w:rsid w:val="00883E11"/>
    <w:rsid w:val="00957923"/>
    <w:rsid w:val="00980979"/>
    <w:rsid w:val="00994DE5"/>
    <w:rsid w:val="00AC62B2"/>
    <w:rsid w:val="00AD29A1"/>
    <w:rsid w:val="00B17204"/>
    <w:rsid w:val="00BA286C"/>
    <w:rsid w:val="00C42F2D"/>
    <w:rsid w:val="00DA346D"/>
    <w:rsid w:val="00F404FF"/>
    <w:rsid w:val="00F43E05"/>
    <w:rsid w:val="00F51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i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6</cp:revision>
  <cp:lastPrinted>2012-08-01T11:45:00Z</cp:lastPrinted>
  <dcterms:created xsi:type="dcterms:W3CDTF">2012-07-30T13:09:00Z</dcterms:created>
  <dcterms:modified xsi:type="dcterms:W3CDTF">2012-08-01T11:45:00Z</dcterms:modified>
</cp:coreProperties>
</file>