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7"/>
        <w:gridCol w:w="1011"/>
        <w:gridCol w:w="1728"/>
      </w:tblGrid>
      <w:tr w:rsidR="00F51B15" w:rsidTr="000A49FB">
        <w:trPr>
          <w:trHeight w:val="680"/>
        </w:trPr>
        <w:tc>
          <w:tcPr>
            <w:tcW w:w="6487" w:type="dxa"/>
            <w:vMerge w:val="restart"/>
            <w:vAlign w:val="center"/>
          </w:tcPr>
          <w:p w:rsidR="00F51B15" w:rsidRPr="000A49FB" w:rsidRDefault="007E3F1A" w:rsidP="000A49FB">
            <w:pPr>
              <w:pStyle w:val="Titill"/>
            </w:pPr>
            <w:r w:rsidRPr="007E3F1A">
              <w:t>húsgögn</w:t>
            </w:r>
            <w:r w:rsidR="00F51B15" w:rsidRPr="000A49FB">
              <w:t xml:space="preserve"> - umhverfisskilyrði</w:t>
            </w:r>
          </w:p>
        </w:tc>
        <w:tc>
          <w:tcPr>
            <w:tcW w:w="1011" w:type="dxa"/>
            <w:vAlign w:val="bottom"/>
          </w:tcPr>
          <w:p w:rsidR="00F51B15" w:rsidRDefault="00F51B15">
            <w:r>
              <w:t>Dags.</w:t>
            </w:r>
          </w:p>
        </w:tc>
        <w:tc>
          <w:tcPr>
            <w:tcW w:w="1728" w:type="dxa"/>
            <w:vAlign w:val="bottom"/>
          </w:tcPr>
          <w:p w:rsidR="00F51B15" w:rsidRDefault="00F51B15" w:rsidP="007E3F1A">
            <w:pPr>
              <w:jc w:val="right"/>
            </w:pPr>
            <w:r>
              <w:t>201</w:t>
            </w:r>
            <w:r w:rsidR="007E3F1A">
              <w:t>2</w:t>
            </w:r>
            <w:r>
              <w:t>-</w:t>
            </w:r>
            <w:r w:rsidR="007E3F1A">
              <w:t>08</w:t>
            </w:r>
            <w:r>
              <w:t>-</w:t>
            </w:r>
            <w:r w:rsidR="007E3F1A">
              <w:t>30</w:t>
            </w:r>
          </w:p>
        </w:tc>
      </w:tr>
      <w:tr w:rsidR="00F51B15" w:rsidTr="000A49FB">
        <w:trPr>
          <w:trHeight w:val="680"/>
        </w:trPr>
        <w:tc>
          <w:tcPr>
            <w:tcW w:w="6487" w:type="dxa"/>
            <w:vMerge/>
            <w:vAlign w:val="center"/>
          </w:tcPr>
          <w:p w:rsidR="00F51B15" w:rsidRDefault="00F51B15"/>
        </w:tc>
        <w:tc>
          <w:tcPr>
            <w:tcW w:w="1011" w:type="dxa"/>
            <w:vAlign w:val="bottom"/>
          </w:tcPr>
          <w:p w:rsidR="00F51B15" w:rsidRDefault="00F51B15">
            <w:r>
              <w:t>Útgáfa</w:t>
            </w:r>
          </w:p>
        </w:tc>
        <w:tc>
          <w:tcPr>
            <w:tcW w:w="1728" w:type="dxa"/>
            <w:vAlign w:val="bottom"/>
          </w:tcPr>
          <w:p w:rsidR="00F51B15" w:rsidRDefault="000A49FB" w:rsidP="007E3F1A">
            <w:pPr>
              <w:jc w:val="right"/>
            </w:pPr>
            <w:r>
              <w:t>1.</w:t>
            </w:r>
            <w:r w:rsidR="007E3F1A">
              <w:t>1</w:t>
            </w:r>
          </w:p>
        </w:tc>
      </w:tr>
    </w:tbl>
    <w:p w:rsidR="007566D8" w:rsidRPr="00F51B15" w:rsidRDefault="000A49FB" w:rsidP="00994DE5">
      <w:pPr>
        <w:pStyle w:val="Heading1"/>
        <w:numPr>
          <w:ilvl w:val="0"/>
          <w:numId w:val="0"/>
        </w:numPr>
        <w:ind w:left="431" w:hanging="431"/>
      </w:pPr>
      <w:r>
        <w:t>V</w:t>
      </w:r>
      <w:r w:rsidR="007566D8" w:rsidRPr="00F51B15">
        <w:t>iðfangsefni og gildissvið</w:t>
      </w:r>
    </w:p>
    <w:p w:rsidR="002A0F11" w:rsidRDefault="002A0F11" w:rsidP="002A0F11">
      <w:r>
        <w:t xml:space="preserve">Umhverfisskilyrðin eru sett fram á vegum verkefnisins Vistvæn innkaup sem er samstarfsverkefni ríkis og sveitarfélaga, sjá nánar á </w:t>
      </w:r>
      <w:hyperlink r:id="rId9" w:history="1">
        <w:r w:rsidRPr="00E06B88">
          <w:rPr>
            <w:rStyle w:val="Hyperlink"/>
          </w:rPr>
          <w:t>www.vinn.is</w:t>
        </w:r>
      </w:hyperlink>
      <w:r>
        <w:t xml:space="preserve">. </w:t>
      </w:r>
    </w:p>
    <w:p w:rsidR="007E3F1A" w:rsidRPr="003A6DBA" w:rsidRDefault="007E3F1A" w:rsidP="007E3F1A">
      <w:pPr>
        <w:keepLines/>
        <w:widowControl w:val="0"/>
        <w:autoSpaceDE w:val="0"/>
        <w:autoSpaceDN w:val="0"/>
        <w:adjustRightInd w:val="0"/>
        <w:spacing w:before="120"/>
      </w:pPr>
      <w:r w:rsidRPr="003A6DBA">
        <w:t>Viðmiðin eru byggð á viðmiðum umhverfismerkja eins og norræna Svaninum</w:t>
      </w:r>
      <w:r>
        <w:t xml:space="preserve"> og</w:t>
      </w:r>
      <w:r w:rsidRPr="003A6DBA">
        <w:t xml:space="preserve"> Evrópublóminu</w:t>
      </w:r>
      <w:r>
        <w:t xml:space="preserve">. </w:t>
      </w:r>
      <w:r w:rsidRPr="003A6DBA">
        <w:t>Sé vara vottuð  með einhverju þessara umhverfismerkja er það fullnægjandi sönnun á því að viðmiðin í þessu skjali séu uppfyllt.</w:t>
      </w:r>
    </w:p>
    <w:p w:rsidR="007E3F1A" w:rsidRPr="003A6DBA" w:rsidRDefault="007E3F1A" w:rsidP="007E3F1A">
      <w:pPr>
        <w:keepLines/>
        <w:widowControl w:val="0"/>
        <w:autoSpaceDE w:val="0"/>
        <w:autoSpaceDN w:val="0"/>
        <w:adjustRightInd w:val="0"/>
        <w:spacing w:before="120"/>
        <w:jc w:val="center"/>
      </w:pPr>
      <w:r w:rsidRPr="003A6DBA">
        <w:rPr>
          <w:noProof/>
          <w:lang w:eastAsia="is-IS"/>
        </w:rPr>
        <w:drawing>
          <wp:inline distT="0" distB="0" distL="0" distR="0" wp14:anchorId="7B3C280E" wp14:editId="4DD98A83">
            <wp:extent cx="646981" cy="653144"/>
            <wp:effectExtent l="0" t="0" r="1270" b="0"/>
            <wp:docPr id="4" name="Picture 1" descr="Svansmerki_RGB_enginn-texti_2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nsmerki_RGB_enginn-texti_200x201"/>
                    <pic:cNvPicPr>
                      <a:picLocks noChangeAspect="1" noChangeArrowheads="1"/>
                    </pic:cNvPicPr>
                  </pic:nvPicPr>
                  <pic:blipFill>
                    <a:blip r:embed="rId10" cstate="print"/>
                    <a:srcRect/>
                    <a:stretch>
                      <a:fillRect/>
                    </a:stretch>
                  </pic:blipFill>
                  <pic:spPr bwMode="auto">
                    <a:xfrm>
                      <a:off x="0" y="0"/>
                      <a:ext cx="648308" cy="654484"/>
                    </a:xfrm>
                    <a:prstGeom prst="rect">
                      <a:avLst/>
                    </a:prstGeom>
                    <a:noFill/>
                    <a:ln w="9525">
                      <a:noFill/>
                      <a:miter lim="800000"/>
                      <a:headEnd/>
                      <a:tailEnd/>
                    </a:ln>
                  </pic:spPr>
                </pic:pic>
              </a:graphicData>
            </a:graphic>
          </wp:inline>
        </w:drawing>
      </w:r>
      <w:r w:rsidRPr="003A6DBA">
        <w:t xml:space="preserve">               </w:t>
      </w:r>
      <w:r w:rsidRPr="003A6DBA">
        <w:rPr>
          <w:noProof/>
          <w:lang w:eastAsia="is-IS"/>
        </w:rPr>
        <w:drawing>
          <wp:inline distT="0" distB="0" distL="0" distR="0" wp14:anchorId="2DA3A3E0" wp14:editId="79D28B82">
            <wp:extent cx="638355" cy="638355"/>
            <wp:effectExtent l="0" t="0" r="9525" b="9525"/>
            <wp:docPr id="3" name="Picture 3" descr="blomid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mid_250"/>
                    <pic:cNvPicPr>
                      <a:picLocks noChangeAspect="1" noChangeArrowheads="1"/>
                    </pic:cNvPicPr>
                  </pic:nvPicPr>
                  <pic:blipFill>
                    <a:blip r:embed="rId11" cstate="print"/>
                    <a:srcRect/>
                    <a:stretch>
                      <a:fillRect/>
                    </a:stretch>
                  </pic:blipFill>
                  <pic:spPr bwMode="auto">
                    <a:xfrm>
                      <a:off x="0" y="0"/>
                      <a:ext cx="635748" cy="635748"/>
                    </a:xfrm>
                    <a:prstGeom prst="rect">
                      <a:avLst/>
                    </a:prstGeom>
                    <a:noFill/>
                    <a:ln w="9525">
                      <a:noFill/>
                      <a:miter lim="800000"/>
                      <a:headEnd/>
                      <a:tailEnd/>
                    </a:ln>
                  </pic:spPr>
                </pic:pic>
              </a:graphicData>
            </a:graphic>
          </wp:inline>
        </w:drawing>
      </w:r>
      <w:r w:rsidRPr="003A6DBA">
        <w:rPr>
          <w:noProof/>
          <w:lang w:eastAsia="is-IS"/>
        </w:rPr>
        <w:t xml:space="preserve">                </w:t>
      </w:r>
    </w:p>
    <w:p w:rsidR="007E3F1A" w:rsidRDefault="007E3F1A" w:rsidP="002A0F11"/>
    <w:p w:rsidR="007E3F1A" w:rsidRPr="003A6DBA" w:rsidRDefault="007E3F1A" w:rsidP="007E3F1A">
      <w:pPr>
        <w:keepLines/>
        <w:widowControl w:val="0"/>
        <w:autoSpaceDE w:val="0"/>
        <w:autoSpaceDN w:val="0"/>
        <w:adjustRightInd w:val="0"/>
        <w:spacing w:before="120"/>
      </w:pPr>
      <w:r>
        <w:t>Þessi skilyrði ná til innkaupa á</w:t>
      </w:r>
      <w:r w:rsidRPr="003A6DBA">
        <w:t>:</w:t>
      </w:r>
    </w:p>
    <w:p w:rsidR="007E3F1A" w:rsidRDefault="007E3F1A" w:rsidP="007E3F1A">
      <w:pPr>
        <w:keepLines/>
        <w:widowControl w:val="0"/>
        <w:numPr>
          <w:ilvl w:val="0"/>
          <w:numId w:val="15"/>
        </w:numPr>
        <w:autoSpaceDE w:val="0"/>
        <w:autoSpaceDN w:val="0"/>
        <w:adjustRightInd w:val="0"/>
        <w:spacing w:before="120" w:line="240" w:lineRule="auto"/>
      </w:pPr>
      <w:r w:rsidRPr="003A6DBA">
        <w:rPr>
          <w:b/>
        </w:rPr>
        <w:t>Húsgögn</w:t>
      </w:r>
      <w:r>
        <w:rPr>
          <w:b/>
        </w:rPr>
        <w:t>um</w:t>
      </w:r>
      <w:r w:rsidRPr="003A6DBA">
        <w:rPr>
          <w:b/>
        </w:rPr>
        <w:t xml:space="preserve"> til innanhúsnota</w:t>
      </w:r>
      <w:r w:rsidRPr="003A6DBA">
        <w:t xml:space="preserve">, svo sem skrifstofu- og skólahúsgögn og húsgögn til heimilisnota, óháð því hvort um er að ræða frístandandi húsgögn eða húsgögn sem eru innbyggð í t.d. innréttingar.  </w:t>
      </w:r>
      <w:r>
        <w:t xml:space="preserve">Dæmi: </w:t>
      </w:r>
      <w:r w:rsidRPr="003A6DBA">
        <w:t>stólar, borð, rúm, hillur</w:t>
      </w:r>
      <w:r>
        <w:t xml:space="preserve"> og </w:t>
      </w:r>
      <w:r w:rsidRPr="003A6DBA">
        <w:t xml:space="preserve">skápar.  </w:t>
      </w:r>
    </w:p>
    <w:p w:rsidR="007E3F1A" w:rsidRPr="003A6DBA" w:rsidRDefault="007E3F1A" w:rsidP="007E3F1A">
      <w:pPr>
        <w:keepLines/>
        <w:widowControl w:val="0"/>
        <w:autoSpaceDE w:val="0"/>
        <w:autoSpaceDN w:val="0"/>
        <w:adjustRightInd w:val="0"/>
        <w:spacing w:before="120" w:line="240" w:lineRule="auto"/>
        <w:ind w:left="720"/>
      </w:pPr>
      <w:r w:rsidRPr="007E3F1A">
        <w:rPr>
          <w:i/>
        </w:rPr>
        <w:t>Viðmiðin taka hins vegar ekki til</w:t>
      </w:r>
      <w:r w:rsidRPr="003A6DBA">
        <w:t xml:space="preserve"> byggingarvöru (t.d veggklæðning, tröppur og sambærilegt), salerna eða vaska, teppa, gólfefna eða raftækjabúnaðar.</w:t>
      </w:r>
    </w:p>
    <w:p w:rsidR="007E3F1A" w:rsidRDefault="007E3F1A" w:rsidP="007E3F1A">
      <w:pPr>
        <w:keepLines/>
        <w:widowControl w:val="0"/>
        <w:numPr>
          <w:ilvl w:val="0"/>
          <w:numId w:val="15"/>
        </w:numPr>
        <w:autoSpaceDE w:val="0"/>
        <w:autoSpaceDN w:val="0"/>
        <w:adjustRightInd w:val="0"/>
        <w:spacing w:before="120" w:line="240" w:lineRule="auto"/>
      </w:pPr>
      <w:r w:rsidRPr="003A6DBA">
        <w:rPr>
          <w:b/>
        </w:rPr>
        <w:t>Húsgögn</w:t>
      </w:r>
      <w:r>
        <w:rPr>
          <w:b/>
        </w:rPr>
        <w:t>um</w:t>
      </w:r>
      <w:r w:rsidRPr="003A6DBA">
        <w:rPr>
          <w:b/>
        </w:rPr>
        <w:t xml:space="preserve"> til utanhússnota</w:t>
      </w:r>
      <w:r w:rsidRPr="003A6DBA">
        <w:t>, svo sem bekkir, borð og stólar</w:t>
      </w:r>
      <w:r>
        <w:t xml:space="preserve">. </w:t>
      </w:r>
    </w:p>
    <w:p w:rsidR="007E3F1A" w:rsidRDefault="007E3F1A" w:rsidP="007E3F1A">
      <w:pPr>
        <w:keepLines/>
        <w:widowControl w:val="0"/>
        <w:autoSpaceDE w:val="0"/>
        <w:autoSpaceDN w:val="0"/>
        <w:adjustRightInd w:val="0"/>
        <w:spacing w:before="120" w:line="240" w:lineRule="auto"/>
        <w:ind w:left="720"/>
      </w:pPr>
      <w:r w:rsidRPr="007E3F1A">
        <w:rPr>
          <w:i/>
        </w:rPr>
        <w:t>Viðmiðin ná ekki til búnaðar</w:t>
      </w:r>
      <w:r>
        <w:t xml:space="preserve"> sem </w:t>
      </w:r>
      <w:r w:rsidRPr="003A6DBA">
        <w:t>telst ekki húsg</w:t>
      </w:r>
      <w:r>
        <w:t>a</w:t>
      </w:r>
      <w:r w:rsidRPr="003A6DBA">
        <w:t>gn svo sem útilýsing, leiktæki eða pallaefni.</w:t>
      </w:r>
    </w:p>
    <w:p w:rsidR="007E3F1A" w:rsidRPr="006D10AA" w:rsidRDefault="007E3F1A" w:rsidP="007E3F1A">
      <w:pPr>
        <w:keepLines/>
        <w:widowControl w:val="0"/>
        <w:autoSpaceDE w:val="0"/>
        <w:autoSpaceDN w:val="0"/>
        <w:adjustRightInd w:val="0"/>
        <w:spacing w:before="120" w:line="240" w:lineRule="auto"/>
        <w:rPr>
          <w:b/>
        </w:rPr>
      </w:pPr>
      <w:r w:rsidRPr="006D10AA">
        <w:rPr>
          <w:b/>
        </w:rPr>
        <w:t>Yfirlit yfir viðmið sem tekið er á í skilyrðunum:</w:t>
      </w:r>
    </w:p>
    <w:p w:rsidR="007E3F1A" w:rsidRPr="006D10AA" w:rsidRDefault="007E3F1A" w:rsidP="007E3F1A">
      <w:pPr>
        <w:keepLines/>
        <w:widowControl w:val="0"/>
        <w:numPr>
          <w:ilvl w:val="0"/>
          <w:numId w:val="15"/>
        </w:numPr>
        <w:autoSpaceDE w:val="0"/>
        <w:autoSpaceDN w:val="0"/>
        <w:adjustRightInd w:val="0"/>
        <w:spacing w:before="120" w:line="240" w:lineRule="auto"/>
        <w:rPr>
          <w:b/>
        </w:rPr>
      </w:pPr>
      <w:r w:rsidRPr="006D10AA">
        <w:rPr>
          <w:b/>
        </w:rPr>
        <w:t>Timbur</w:t>
      </w:r>
    </w:p>
    <w:p w:rsidR="007E3F1A" w:rsidRPr="006D10AA" w:rsidRDefault="007E3F1A" w:rsidP="007E3F1A">
      <w:pPr>
        <w:keepLines/>
        <w:widowControl w:val="0"/>
        <w:numPr>
          <w:ilvl w:val="0"/>
          <w:numId w:val="15"/>
        </w:numPr>
        <w:autoSpaceDE w:val="0"/>
        <w:autoSpaceDN w:val="0"/>
        <w:adjustRightInd w:val="0"/>
        <w:spacing w:before="120" w:line="240" w:lineRule="auto"/>
        <w:rPr>
          <w:b/>
        </w:rPr>
      </w:pPr>
      <w:r w:rsidRPr="006D10AA">
        <w:rPr>
          <w:b/>
        </w:rPr>
        <w:t>Málmar</w:t>
      </w:r>
    </w:p>
    <w:p w:rsidR="007E3F1A" w:rsidRPr="006D10AA" w:rsidRDefault="007E3F1A" w:rsidP="007E3F1A">
      <w:pPr>
        <w:keepLines/>
        <w:widowControl w:val="0"/>
        <w:numPr>
          <w:ilvl w:val="0"/>
          <w:numId w:val="15"/>
        </w:numPr>
        <w:autoSpaceDE w:val="0"/>
        <w:autoSpaceDN w:val="0"/>
        <w:adjustRightInd w:val="0"/>
        <w:spacing w:before="120" w:line="240" w:lineRule="auto"/>
        <w:rPr>
          <w:b/>
        </w:rPr>
      </w:pPr>
      <w:r w:rsidRPr="006D10AA">
        <w:rPr>
          <w:b/>
        </w:rPr>
        <w:t>Plast</w:t>
      </w:r>
    </w:p>
    <w:p w:rsidR="007E3F1A" w:rsidRPr="006D10AA" w:rsidRDefault="007E3F1A" w:rsidP="007E3F1A">
      <w:pPr>
        <w:keepLines/>
        <w:widowControl w:val="0"/>
        <w:numPr>
          <w:ilvl w:val="0"/>
          <w:numId w:val="15"/>
        </w:numPr>
        <w:autoSpaceDE w:val="0"/>
        <w:autoSpaceDN w:val="0"/>
        <w:adjustRightInd w:val="0"/>
        <w:spacing w:before="120" w:line="240" w:lineRule="auto"/>
        <w:rPr>
          <w:b/>
        </w:rPr>
      </w:pPr>
      <w:r w:rsidRPr="006D10AA">
        <w:rPr>
          <w:b/>
        </w:rPr>
        <w:t>Bólsturefni</w:t>
      </w:r>
    </w:p>
    <w:p w:rsidR="007E3F1A" w:rsidRPr="006D10AA" w:rsidRDefault="007E3F1A" w:rsidP="007E3F1A">
      <w:pPr>
        <w:keepLines/>
        <w:widowControl w:val="0"/>
        <w:numPr>
          <w:ilvl w:val="0"/>
          <w:numId w:val="15"/>
        </w:numPr>
        <w:autoSpaceDE w:val="0"/>
        <w:autoSpaceDN w:val="0"/>
        <w:adjustRightInd w:val="0"/>
        <w:spacing w:before="120" w:line="240" w:lineRule="auto"/>
        <w:rPr>
          <w:b/>
        </w:rPr>
      </w:pPr>
      <w:r w:rsidRPr="006D10AA">
        <w:rPr>
          <w:b/>
        </w:rPr>
        <w:t>Á</w:t>
      </w:r>
      <w:r w:rsidR="006D10AA">
        <w:rPr>
          <w:b/>
        </w:rPr>
        <w:t>klæði</w:t>
      </w:r>
    </w:p>
    <w:p w:rsidR="007E3F1A" w:rsidRDefault="007E3F1A">
      <w:pPr>
        <w:spacing w:after="200"/>
      </w:pPr>
      <w:r>
        <w:br w:type="page"/>
      </w:r>
    </w:p>
    <w:p w:rsidR="007E3F1A" w:rsidRDefault="007E3F1A" w:rsidP="00DA346D"/>
    <w:p w:rsidR="00DA346D" w:rsidRDefault="00DA346D" w:rsidP="00DA346D">
      <w:r>
        <w:t>Grunn- og ítarviðmiðin samanstanda af lágmarksskilyrðum og matsviðmiðum:</w:t>
      </w:r>
    </w:p>
    <w:p w:rsidR="00DA346D" w:rsidRDefault="00DA346D" w:rsidP="00DA346D">
      <w:r w:rsidRPr="000B4048">
        <w:rPr>
          <w:b/>
        </w:rPr>
        <w:t>Lágmarksskilyrði</w:t>
      </w:r>
      <w:r>
        <w:t>; eru ófrávíkjanleg skilyrði sem boðin vara eða þjónusta skal uppfylla til að tilboð verði tekið til nánari skoðunar.</w:t>
      </w:r>
    </w:p>
    <w:p w:rsidR="002A0F11" w:rsidRPr="00DD1129" w:rsidRDefault="00DA346D" w:rsidP="00DA346D">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rsidR="002A0F11">
        <w:t xml:space="preserve"> </w:t>
      </w:r>
    </w:p>
    <w:p w:rsidR="007566D8" w:rsidRDefault="007566D8" w:rsidP="002A0F11"/>
    <w:p w:rsidR="007D3928" w:rsidRDefault="007D3928">
      <w:pPr>
        <w:spacing w:after="200"/>
        <w:rPr>
          <w:rFonts w:eastAsiaTheme="majorEastAsia" w:cstheme="majorBidi"/>
          <w:b/>
          <w:bCs/>
          <w:smallCaps/>
          <w:sz w:val="32"/>
          <w:szCs w:val="28"/>
        </w:rPr>
      </w:pPr>
      <w:bookmarkStart w:id="0" w:name="_GoBack"/>
      <w:bookmarkEnd w:id="0"/>
    </w:p>
    <w:p w:rsidR="007566D8" w:rsidRPr="00F51B15" w:rsidRDefault="00F404FF" w:rsidP="007D3928">
      <w:pPr>
        <w:pStyle w:val="Heading1"/>
        <w:numPr>
          <w:ilvl w:val="0"/>
          <w:numId w:val="0"/>
        </w:numPr>
        <w:ind w:left="431" w:hanging="431"/>
      </w:pPr>
      <w:r>
        <w:t>Helstu umhverfisáhrif</w:t>
      </w:r>
    </w:p>
    <w:tbl>
      <w:tblPr>
        <w:tblStyle w:val="TableGrid"/>
        <w:tblW w:w="0" w:type="auto"/>
        <w:tblLook w:val="04A0" w:firstRow="1" w:lastRow="0" w:firstColumn="1" w:lastColumn="0" w:noHBand="0" w:noVBand="1"/>
      </w:tblPr>
      <w:tblGrid>
        <w:gridCol w:w="4776"/>
        <w:gridCol w:w="4512"/>
      </w:tblGrid>
      <w:tr w:rsidR="007D3928" w:rsidTr="00980979">
        <w:tc>
          <w:tcPr>
            <w:tcW w:w="7072" w:type="dxa"/>
          </w:tcPr>
          <w:p w:rsidR="007D3928" w:rsidRDefault="007D3928" w:rsidP="00980979">
            <w:pPr>
              <w:rPr>
                <w:b/>
              </w:rPr>
            </w:pPr>
            <w:r>
              <w:rPr>
                <w:b/>
              </w:rPr>
              <w:t>Helstu umhverfisáhrif</w:t>
            </w:r>
          </w:p>
        </w:tc>
        <w:tc>
          <w:tcPr>
            <w:tcW w:w="7072" w:type="dxa"/>
          </w:tcPr>
          <w:p w:rsidR="007D3928" w:rsidRDefault="007E3F1A" w:rsidP="00980979">
            <w:pPr>
              <w:rPr>
                <w:b/>
              </w:rPr>
            </w:pPr>
            <w:r>
              <w:rPr>
                <w:b/>
              </w:rPr>
              <w:t xml:space="preserve">Nálgun </w:t>
            </w:r>
          </w:p>
        </w:tc>
      </w:tr>
      <w:tr w:rsidR="007D3928" w:rsidTr="00980979">
        <w:tc>
          <w:tcPr>
            <w:tcW w:w="7072" w:type="dxa"/>
          </w:tcPr>
          <w:p w:rsidR="007E3F1A" w:rsidRDefault="007E3F1A" w:rsidP="007E3F1A">
            <w:pPr>
              <w:widowControl w:val="0"/>
              <w:numPr>
                <w:ilvl w:val="0"/>
                <w:numId w:val="3"/>
              </w:numPr>
              <w:autoSpaceDE w:val="0"/>
              <w:autoSpaceDN w:val="0"/>
              <w:adjustRightInd w:val="0"/>
              <w:spacing w:before="120"/>
              <w:rPr>
                <w:sz w:val="22"/>
              </w:rPr>
            </w:pPr>
            <w:r w:rsidRPr="003A6DBA">
              <w:rPr>
                <w:szCs w:val="20"/>
              </w:rPr>
              <w:t>Áhri</w:t>
            </w:r>
            <w:r>
              <w:rPr>
                <w:szCs w:val="20"/>
              </w:rPr>
              <w:t xml:space="preserve">f á líffræðilega fjölbreytni og </w:t>
            </w:r>
            <w:r w:rsidRPr="003A6DBA">
              <w:rPr>
                <w:szCs w:val="20"/>
              </w:rPr>
              <w:t>landrof vegna ósjálfbærrar skógræktar</w:t>
            </w:r>
          </w:p>
          <w:p w:rsidR="007E3F1A" w:rsidRDefault="007E3F1A" w:rsidP="007E3F1A">
            <w:pPr>
              <w:widowControl w:val="0"/>
              <w:numPr>
                <w:ilvl w:val="0"/>
                <w:numId w:val="3"/>
              </w:numPr>
              <w:autoSpaceDE w:val="0"/>
              <w:autoSpaceDN w:val="0"/>
              <w:adjustRightInd w:val="0"/>
              <w:spacing w:before="120"/>
              <w:rPr>
                <w:sz w:val="22"/>
              </w:rPr>
            </w:pPr>
            <w:r w:rsidRPr="003A6DBA">
              <w:rPr>
                <w:szCs w:val="20"/>
              </w:rPr>
              <w:t>Áhrif á landslag vegna námuvinnslu</w:t>
            </w:r>
          </w:p>
          <w:p w:rsidR="007E3F1A" w:rsidRDefault="007E3F1A" w:rsidP="007E3F1A">
            <w:pPr>
              <w:widowControl w:val="0"/>
              <w:numPr>
                <w:ilvl w:val="0"/>
                <w:numId w:val="3"/>
              </w:numPr>
              <w:autoSpaceDE w:val="0"/>
              <w:autoSpaceDN w:val="0"/>
              <w:adjustRightInd w:val="0"/>
              <w:spacing w:before="120"/>
              <w:rPr>
                <w:sz w:val="22"/>
              </w:rPr>
            </w:pPr>
            <w:r w:rsidRPr="003A6DBA">
              <w:rPr>
                <w:szCs w:val="20"/>
              </w:rPr>
              <w:t>Ósjálfbær vinnsla og notkun auðlinda</w:t>
            </w:r>
          </w:p>
          <w:p w:rsidR="007E3F1A" w:rsidRDefault="007E3F1A" w:rsidP="007E3F1A">
            <w:pPr>
              <w:widowControl w:val="0"/>
              <w:numPr>
                <w:ilvl w:val="0"/>
                <w:numId w:val="3"/>
              </w:numPr>
              <w:autoSpaceDE w:val="0"/>
              <w:autoSpaceDN w:val="0"/>
              <w:adjustRightInd w:val="0"/>
              <w:spacing w:before="120"/>
              <w:rPr>
                <w:sz w:val="22"/>
              </w:rPr>
            </w:pPr>
            <w:r w:rsidRPr="00F43E05">
              <w:rPr>
                <w:i/>
                <w:noProof/>
                <w:lang w:eastAsia="is-IS"/>
              </w:rPr>
              <mc:AlternateContent>
                <mc:Choice Requires="wps">
                  <w:drawing>
                    <wp:anchor distT="0" distB="0" distL="114300" distR="114300" simplePos="0" relativeHeight="251659264" behindDoc="0" locked="0" layoutInCell="1" allowOverlap="1" wp14:anchorId="322D0F53" wp14:editId="05B1AA43">
                      <wp:simplePos x="0" y="0"/>
                      <wp:positionH relativeFrom="column">
                        <wp:posOffset>2662555</wp:posOffset>
                      </wp:positionH>
                      <wp:positionV relativeFrom="paragraph">
                        <wp:posOffset>73025</wp:posOffset>
                      </wp:positionV>
                      <wp:extent cx="572135" cy="396875"/>
                      <wp:effectExtent l="19050" t="19050" r="37465" b="41275"/>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 cy="396875"/>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209.65pt;margin-top:5.75pt;width:45.0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" adj="14108" fillcolor="#92d050" strokecolor="black [3213]" strokeweight=".25pt">
                      <v:path arrowok="t"/>
                    </v:shape>
                  </w:pict>
                </mc:Fallback>
              </mc:AlternateContent>
            </w:r>
            <w:r>
              <w:rPr>
                <w:szCs w:val="20"/>
              </w:rPr>
              <w:t xml:space="preserve">Orkunotkun og notkun endanlegra auðlinda og skaðlegra efna við </w:t>
            </w:r>
            <w:r w:rsidRPr="003A6DBA">
              <w:rPr>
                <w:szCs w:val="20"/>
              </w:rPr>
              <w:t>framleiðslu húsgagna</w:t>
            </w:r>
          </w:p>
          <w:p w:rsidR="007E3F1A" w:rsidRDefault="007E3F1A" w:rsidP="007E3F1A">
            <w:pPr>
              <w:widowControl w:val="0"/>
              <w:numPr>
                <w:ilvl w:val="0"/>
                <w:numId w:val="3"/>
              </w:numPr>
              <w:autoSpaceDE w:val="0"/>
              <w:autoSpaceDN w:val="0"/>
              <w:adjustRightInd w:val="0"/>
              <w:spacing w:before="120"/>
              <w:rPr>
                <w:sz w:val="22"/>
              </w:rPr>
            </w:pPr>
            <w:r w:rsidRPr="003A6DBA">
              <w:rPr>
                <w:szCs w:val="20"/>
              </w:rPr>
              <w:t>Notkun rokgjarnra efna sem hafa neikvæð heilsufarsleg áhrif</w:t>
            </w:r>
          </w:p>
          <w:p w:rsidR="007D3928" w:rsidRPr="00F43E05" w:rsidRDefault="007E3F1A" w:rsidP="007E3F1A">
            <w:pPr>
              <w:pStyle w:val="ListParagraph"/>
              <w:numPr>
                <w:ilvl w:val="0"/>
                <w:numId w:val="3"/>
              </w:numPr>
              <w:spacing w:after="200"/>
              <w:rPr>
                <w:rFonts w:cs="Times New Roman"/>
                <w:i/>
                <w:szCs w:val="24"/>
              </w:rPr>
            </w:pPr>
            <w:r w:rsidRPr="003A6DBA">
              <w:rPr>
                <w:szCs w:val="20"/>
              </w:rPr>
              <w:t>Úrgangsmyndun og -meðhöndlun við framleiðslu og notkun húsgagna</w:t>
            </w:r>
          </w:p>
        </w:tc>
        <w:tc>
          <w:tcPr>
            <w:tcW w:w="7072" w:type="dxa"/>
          </w:tcPr>
          <w:p w:rsidR="007E3F1A" w:rsidRDefault="007E3F1A" w:rsidP="007E3F1A">
            <w:pPr>
              <w:widowControl w:val="0"/>
              <w:numPr>
                <w:ilvl w:val="0"/>
                <w:numId w:val="3"/>
              </w:numPr>
              <w:autoSpaceDE w:val="0"/>
              <w:autoSpaceDN w:val="0"/>
              <w:adjustRightInd w:val="0"/>
              <w:spacing w:before="120"/>
            </w:pPr>
            <w:r w:rsidRPr="003A6DBA">
              <w:t>Timbur framleitt í löglegri og sjálfbærri skógrækt</w:t>
            </w:r>
          </w:p>
          <w:p w:rsidR="007E3F1A" w:rsidRDefault="007E3F1A" w:rsidP="007E3F1A">
            <w:pPr>
              <w:widowControl w:val="0"/>
              <w:numPr>
                <w:ilvl w:val="0"/>
                <w:numId w:val="3"/>
              </w:numPr>
              <w:autoSpaceDE w:val="0"/>
              <w:autoSpaceDN w:val="0"/>
              <w:adjustRightInd w:val="0"/>
              <w:spacing w:before="120"/>
            </w:pPr>
            <w:r w:rsidRPr="003A6DBA">
              <w:t>Notkun á endurunnu efni</w:t>
            </w:r>
          </w:p>
          <w:p w:rsidR="007E3F1A" w:rsidRDefault="007E3F1A" w:rsidP="007E3F1A">
            <w:pPr>
              <w:widowControl w:val="0"/>
              <w:numPr>
                <w:ilvl w:val="0"/>
                <w:numId w:val="3"/>
              </w:numPr>
              <w:autoSpaceDE w:val="0"/>
              <w:autoSpaceDN w:val="0"/>
              <w:adjustRightInd w:val="0"/>
              <w:spacing w:before="120"/>
            </w:pPr>
            <w:r w:rsidRPr="003A6DBA">
              <w:t>Takmörkun á notkun rokgjarnra efna</w:t>
            </w:r>
          </w:p>
          <w:p w:rsidR="007E3F1A" w:rsidRDefault="007E3F1A" w:rsidP="007E3F1A">
            <w:pPr>
              <w:widowControl w:val="0"/>
              <w:numPr>
                <w:ilvl w:val="0"/>
                <w:numId w:val="3"/>
              </w:numPr>
              <w:autoSpaceDE w:val="0"/>
              <w:autoSpaceDN w:val="0"/>
              <w:adjustRightInd w:val="0"/>
              <w:spacing w:before="120"/>
            </w:pPr>
            <w:r w:rsidRPr="003A6DBA">
              <w:t>Forðast viss skaðleg efni við framleiðslu og meðhöndlun húsgagna</w:t>
            </w:r>
          </w:p>
          <w:p w:rsidR="007E3F1A" w:rsidRDefault="007E3F1A" w:rsidP="007E3F1A">
            <w:pPr>
              <w:widowControl w:val="0"/>
              <w:numPr>
                <w:ilvl w:val="0"/>
                <w:numId w:val="3"/>
              </w:numPr>
              <w:autoSpaceDE w:val="0"/>
              <w:autoSpaceDN w:val="0"/>
              <w:adjustRightInd w:val="0"/>
              <w:spacing w:before="120"/>
            </w:pPr>
            <w:r w:rsidRPr="003A6DBA">
              <w:t>Tryggja að hægt sé að endurnýta hluta húsgagna og/eða endurvinna umbúðir</w:t>
            </w:r>
          </w:p>
          <w:p w:rsidR="007D3928" w:rsidRPr="00F43E05" w:rsidRDefault="007E3F1A" w:rsidP="007E3F1A">
            <w:pPr>
              <w:pStyle w:val="ListParagraph"/>
              <w:numPr>
                <w:ilvl w:val="0"/>
                <w:numId w:val="3"/>
              </w:numPr>
              <w:spacing w:after="200"/>
              <w:rPr>
                <w:rFonts w:cs="Times New Roman"/>
                <w:i/>
                <w:szCs w:val="24"/>
              </w:rPr>
            </w:pPr>
            <w:r w:rsidRPr="003A6DBA">
              <w:t>Kaupa vörur með langan líftíma og sem hægt er að gera við ef með þarf</w:t>
            </w:r>
          </w:p>
        </w:tc>
      </w:tr>
    </w:tbl>
    <w:p w:rsidR="00994DE5" w:rsidRDefault="00994DE5">
      <w:pPr>
        <w:spacing w:after="200"/>
        <w:rPr>
          <w:rFonts w:eastAsiaTheme="majorEastAsia" w:cstheme="majorBidi"/>
          <w:b/>
          <w:bCs/>
          <w:smallCaps/>
          <w:sz w:val="32"/>
          <w:szCs w:val="28"/>
        </w:rPr>
      </w:pPr>
      <w:r>
        <w:br w:type="page"/>
      </w:r>
    </w:p>
    <w:p w:rsidR="00F404FF" w:rsidRDefault="00F404FF" w:rsidP="00F404FF">
      <w:pPr>
        <w:pStyle w:val="Heading1"/>
      </w:pPr>
      <w:r>
        <w:lastRenderedPageBreak/>
        <w:t>Varan</w:t>
      </w:r>
    </w:p>
    <w:tbl>
      <w:tblPr>
        <w:tblStyle w:val="TableGrid1"/>
        <w:tblW w:w="9039" w:type="dxa"/>
        <w:tblLayout w:type="fixed"/>
        <w:tblLook w:val="04A0" w:firstRow="1" w:lastRow="0" w:firstColumn="1" w:lastColumn="0" w:noHBand="0" w:noVBand="1"/>
      </w:tblPr>
      <w:tblGrid>
        <w:gridCol w:w="9039"/>
      </w:tblGrid>
      <w:tr w:rsidR="006813BD" w:rsidRPr="00994DE5" w:rsidTr="006813BD">
        <w:tc>
          <w:tcPr>
            <w:tcW w:w="9039" w:type="dxa"/>
            <w:shd w:val="clear" w:color="auto" w:fill="FFFF00"/>
          </w:tcPr>
          <w:p w:rsidR="006813BD" w:rsidRPr="00B17204" w:rsidRDefault="006813BD" w:rsidP="00B17204">
            <w:pPr>
              <w:pStyle w:val="Titill"/>
            </w:pPr>
            <w:r w:rsidRPr="00B17204">
              <w:t>Grunnviðmið</w:t>
            </w:r>
          </w:p>
        </w:tc>
      </w:tr>
      <w:tr w:rsidR="006813BD" w:rsidRPr="00994DE5" w:rsidTr="006813BD">
        <w:tc>
          <w:tcPr>
            <w:tcW w:w="9039" w:type="dxa"/>
            <w:shd w:val="clear" w:color="auto" w:fill="92D050"/>
          </w:tcPr>
          <w:p w:rsidR="006813BD" w:rsidRPr="00994DE5" w:rsidRDefault="006813BD" w:rsidP="00994DE5">
            <w:pPr>
              <w:spacing w:line="276" w:lineRule="auto"/>
              <w:rPr>
                <w:b/>
              </w:rPr>
            </w:pPr>
            <w:r w:rsidRPr="00994DE5">
              <w:rPr>
                <w:b/>
              </w:rPr>
              <w:t>LÁGMARKSSKILYRÐI</w:t>
            </w:r>
          </w:p>
        </w:tc>
      </w:tr>
      <w:tr w:rsidR="006813BD" w:rsidRPr="00994DE5" w:rsidTr="006813BD">
        <w:tc>
          <w:tcPr>
            <w:tcW w:w="9039" w:type="dxa"/>
          </w:tcPr>
          <w:p w:rsidR="006813BD" w:rsidRPr="009F6A84" w:rsidRDefault="006813BD" w:rsidP="007E3F1A">
            <w:pPr>
              <w:widowControl w:val="0"/>
              <w:autoSpaceDE w:val="0"/>
              <w:autoSpaceDN w:val="0"/>
              <w:adjustRightInd w:val="0"/>
              <w:spacing w:before="120"/>
              <w:rPr>
                <w:b/>
              </w:rPr>
            </w:pPr>
            <w:r w:rsidRPr="009F6A84">
              <w:rPr>
                <w:b/>
              </w:rPr>
              <w:t>1. Plasthlutar</w:t>
            </w:r>
          </w:p>
          <w:p w:rsidR="006813BD" w:rsidRPr="003A6DBA" w:rsidRDefault="006813BD" w:rsidP="007E3F1A">
            <w:pPr>
              <w:widowControl w:val="0"/>
              <w:autoSpaceDE w:val="0"/>
              <w:autoSpaceDN w:val="0"/>
              <w:adjustRightInd w:val="0"/>
              <w:spacing w:before="120"/>
            </w:pPr>
            <w:r w:rsidRPr="003A6DBA">
              <w:t>Allir plasthlutar sem eru ≥ 50g skulu vera merktir plastmerki samkvæmt ISO 11469 eða sambærilegum staðli. Þá skulu plasthlutar ekki innihalda önnur viðbætt efni sem gætu hindrað endurvinnslu þeirra.</w:t>
            </w:r>
          </w:p>
          <w:p w:rsidR="006813BD" w:rsidRPr="006813BD" w:rsidRDefault="006813BD" w:rsidP="006813BD">
            <w:pPr>
              <w:spacing w:line="276" w:lineRule="auto"/>
            </w:pPr>
            <w:r w:rsidRPr="006813BD">
              <w:rPr>
                <w:b/>
              </w:rPr>
              <w:t>Staðfesting</w:t>
            </w:r>
            <w:r w:rsidRPr="006813BD">
              <w:t>: Bjóðendur skulu leggja fram lýsingu á plastefninu í v</w:t>
            </w:r>
            <w:r w:rsidRPr="003A6DBA">
              <w:t>örunum og magn þess, sem og hvernig plastefnið er merkt og hvort það er áfast öðrum efnum. Sé varan vottuð  með viðurkenndu umhverfismerki (Tegund I), svo sem norræna Svaninum</w:t>
            </w:r>
            <w:r>
              <w:t xml:space="preserve"> eða </w:t>
            </w:r>
            <w:r w:rsidRPr="003A6DBA">
              <w:t xml:space="preserve">Evrópublóminu, er viðmiðið uppfyllt. </w:t>
            </w:r>
          </w:p>
        </w:tc>
      </w:tr>
      <w:tr w:rsidR="006813BD" w:rsidRPr="00994DE5" w:rsidTr="006813BD">
        <w:tc>
          <w:tcPr>
            <w:tcW w:w="9039" w:type="dxa"/>
          </w:tcPr>
          <w:p w:rsidR="006813BD" w:rsidRPr="003A6DBA" w:rsidRDefault="006813BD" w:rsidP="007E3F1A">
            <w:pPr>
              <w:widowControl w:val="0"/>
              <w:autoSpaceDE w:val="0"/>
              <w:autoSpaceDN w:val="0"/>
              <w:adjustRightInd w:val="0"/>
              <w:spacing w:before="120"/>
              <w:rPr>
                <w:b/>
              </w:rPr>
            </w:pPr>
            <w:r>
              <w:rPr>
                <w:b/>
              </w:rPr>
              <w:t xml:space="preserve">2. </w:t>
            </w:r>
            <w:r w:rsidRPr="003A6DBA">
              <w:rPr>
                <w:b/>
              </w:rPr>
              <w:t>Klæðning/yfirborð á viði, plasti eða/og málmhlutum</w:t>
            </w:r>
          </w:p>
          <w:p w:rsidR="006813BD" w:rsidRPr="003A6DBA" w:rsidRDefault="006813BD" w:rsidP="007E3F1A">
            <w:pPr>
              <w:widowControl w:val="0"/>
              <w:autoSpaceDE w:val="0"/>
              <w:autoSpaceDN w:val="0"/>
              <w:adjustRightInd w:val="0"/>
              <w:spacing w:before="120"/>
            </w:pPr>
            <w:r w:rsidRPr="003A6DBA">
              <w:t>Klæðning/yfirborð vöru skal</w:t>
            </w:r>
            <w:r>
              <w:t xml:space="preserve"> ekki innihalda</w:t>
            </w:r>
            <w:r w:rsidRPr="003A6DBA">
              <w:t xml:space="preserve">: </w:t>
            </w:r>
          </w:p>
          <w:p w:rsidR="006813BD" w:rsidRPr="003A6DBA" w:rsidRDefault="006813BD" w:rsidP="007E3F1A">
            <w:pPr>
              <w:widowControl w:val="0"/>
              <w:numPr>
                <w:ilvl w:val="0"/>
                <w:numId w:val="18"/>
              </w:numPr>
              <w:autoSpaceDE w:val="0"/>
              <w:autoSpaceDN w:val="0"/>
              <w:adjustRightInd w:val="0"/>
              <w:spacing w:before="120"/>
            </w:pPr>
            <w:r w:rsidRPr="003A6DBA">
              <w:t>hættuleg efni sem hafa verið flokkuð</w:t>
            </w:r>
            <w:r>
              <w:t xml:space="preserve"> </w:t>
            </w:r>
            <w:r w:rsidRPr="003A6DBA">
              <w:t>samkvæmt tilskipun 1999/45/EC sem krabbameinsvaldandi (H40, H45, H49), geta dregið úr frjósemi (H60, H61,H62, H63), stökkbreytivaldandi (H46), eitruð (H23, H24, H25, H26, H27, H28, H51), ofnæmisvaldandi við innöndun (H42), hættulegu umhverfinu (H50, H50/53, H51/53, H52, H52/52, H53) eða, geta valdið arfgengum skaða (H46).</w:t>
            </w:r>
          </w:p>
          <w:p w:rsidR="006813BD" w:rsidRPr="003A6DBA" w:rsidRDefault="006813BD" w:rsidP="007E3F1A">
            <w:pPr>
              <w:widowControl w:val="0"/>
              <w:numPr>
                <w:ilvl w:val="0"/>
                <w:numId w:val="18"/>
              </w:numPr>
              <w:autoSpaceDE w:val="0"/>
              <w:autoSpaceDN w:val="0"/>
              <w:adjustRightInd w:val="0"/>
              <w:spacing w:before="120"/>
            </w:pPr>
            <w:proofErr w:type="spellStart"/>
            <w:r w:rsidRPr="003A6DBA">
              <w:t>aziridine</w:t>
            </w:r>
            <w:proofErr w:type="spellEnd"/>
          </w:p>
          <w:p w:rsidR="006813BD" w:rsidRPr="003A6DBA" w:rsidRDefault="006813BD" w:rsidP="007E3F1A">
            <w:pPr>
              <w:widowControl w:val="0"/>
              <w:numPr>
                <w:ilvl w:val="0"/>
                <w:numId w:val="18"/>
              </w:numPr>
              <w:autoSpaceDE w:val="0"/>
              <w:autoSpaceDN w:val="0"/>
              <w:adjustRightInd w:val="0"/>
              <w:spacing w:before="120"/>
            </w:pPr>
            <w:r w:rsidRPr="003A6DBA">
              <w:t>króm (VI) efnasambönd.</w:t>
            </w:r>
          </w:p>
          <w:p w:rsidR="006813BD" w:rsidRPr="00B17204" w:rsidRDefault="006813BD" w:rsidP="006813BD">
            <w:pPr>
              <w:spacing w:line="276" w:lineRule="auto"/>
              <w:rPr>
                <w:rFonts w:cs="Times New Roman"/>
                <w:i/>
                <w:szCs w:val="24"/>
              </w:rPr>
            </w:pPr>
            <w:r w:rsidRPr="009F6A84">
              <w:rPr>
                <w:rStyle w:val="A12"/>
                <w:b/>
                <w:sz w:val="24"/>
                <w:szCs w:val="24"/>
              </w:rPr>
              <w:t>Staðfesting</w:t>
            </w:r>
            <w:r w:rsidRPr="009F6A84">
              <w:rPr>
                <w:rStyle w:val="A12"/>
                <w:sz w:val="24"/>
                <w:szCs w:val="24"/>
              </w:rPr>
              <w:t xml:space="preserve">: </w:t>
            </w:r>
            <w:r w:rsidRPr="006813BD">
              <w:t xml:space="preserve">Bjóðendur skulu að leggja fram skrá eða yfirlit yfir  </w:t>
            </w:r>
            <w:r w:rsidRPr="003A6DBA">
              <w:t>öll efni sem notuð eru til yfirborðmeðferðar</w:t>
            </w:r>
            <w:r w:rsidRPr="003A6DBA">
              <w:rPr>
                <w:rStyle w:val="A12"/>
                <w:szCs w:val="24"/>
              </w:rPr>
              <w:t xml:space="preserve"> á efnivið húsg</w:t>
            </w:r>
            <w:r w:rsidRPr="003A6DBA">
              <w:t>agnanna, sem og öryggisblöð efnanna eða svipuð gögn sem sýna fram á að ofangreind viðmið séu uppfyllt. Sé varan vottuð  með viðurkenndu umhverfismerki (Tegund I), svo sem norræna Svaninum</w:t>
            </w:r>
            <w:r>
              <w:t xml:space="preserve"> eða </w:t>
            </w:r>
            <w:r w:rsidRPr="003A6DBA">
              <w:t xml:space="preserve">Evrópublóminu, er viðmiðið uppfyllt. </w:t>
            </w:r>
          </w:p>
        </w:tc>
      </w:tr>
      <w:tr w:rsidR="006813BD" w:rsidRPr="00994DE5" w:rsidTr="006813BD">
        <w:tc>
          <w:tcPr>
            <w:tcW w:w="9039" w:type="dxa"/>
          </w:tcPr>
          <w:p w:rsidR="006813BD" w:rsidRPr="003A6DBA" w:rsidRDefault="006813BD" w:rsidP="007E3F1A">
            <w:pPr>
              <w:widowControl w:val="0"/>
              <w:autoSpaceDE w:val="0"/>
              <w:autoSpaceDN w:val="0"/>
              <w:adjustRightInd w:val="0"/>
              <w:spacing w:before="120"/>
            </w:pPr>
            <w:r>
              <w:rPr>
                <w:b/>
              </w:rPr>
              <w:t xml:space="preserve">3. </w:t>
            </w:r>
            <w:r w:rsidRPr="003A6DBA">
              <w:rPr>
                <w:b/>
              </w:rPr>
              <w:t>Umbúðaefni</w:t>
            </w:r>
          </w:p>
          <w:p w:rsidR="006813BD" w:rsidRPr="003A6DBA" w:rsidRDefault="006813BD" w:rsidP="007E3F1A">
            <w:pPr>
              <w:widowControl w:val="0"/>
              <w:autoSpaceDE w:val="0"/>
              <w:autoSpaceDN w:val="0"/>
              <w:adjustRightInd w:val="0"/>
              <w:spacing w:before="120"/>
            </w:pPr>
            <w:r w:rsidRPr="003A6DBA">
              <w:t xml:space="preserve">Umbúðir (að merkingum meðtöldum) skulu ekki innihalda </w:t>
            </w:r>
            <w:proofErr w:type="spellStart"/>
            <w:r w:rsidRPr="003A6DBA">
              <w:t>p</w:t>
            </w:r>
            <w:r>
              <w:t>ólývínylk</w:t>
            </w:r>
            <w:r w:rsidRPr="003A6DBA">
              <w:t>lóríð</w:t>
            </w:r>
            <w:proofErr w:type="spellEnd"/>
            <w:r w:rsidRPr="003A6DBA">
              <w:t xml:space="preserve"> </w:t>
            </w:r>
            <w:r>
              <w:t>(</w:t>
            </w:r>
            <w:r w:rsidRPr="003A6DBA">
              <w:t>PVC</w:t>
            </w:r>
            <w:r>
              <w:t>)</w:t>
            </w:r>
            <w:r w:rsidRPr="003A6DBA">
              <w:t xml:space="preserve"> eða plastefni úr tegundum klóraðra efna.</w:t>
            </w:r>
          </w:p>
          <w:p w:rsidR="006813BD" w:rsidRPr="007E3F1A" w:rsidRDefault="006813BD" w:rsidP="007E3F1A">
            <w:pPr>
              <w:contextualSpacing/>
              <w:rPr>
                <w:rFonts w:cs="Times New Roman"/>
                <w:szCs w:val="24"/>
              </w:rPr>
            </w:pPr>
            <w:r w:rsidRPr="006813BD">
              <w:rPr>
                <w:rStyle w:val="A12"/>
                <w:b/>
                <w:sz w:val="24"/>
                <w:szCs w:val="24"/>
              </w:rPr>
              <w:t>Staðfesting</w:t>
            </w:r>
            <w:r w:rsidRPr="003A6DBA">
              <w:rPr>
                <w:rStyle w:val="A12"/>
                <w:szCs w:val="24"/>
              </w:rPr>
              <w:t xml:space="preserve">: </w:t>
            </w:r>
            <w:r w:rsidRPr="006813BD">
              <w:t>Viðmið er uppfyllt ef birgi leggur fram undirritaða yfirlýsingu þar að lútandi. Gert er ráð fyrir að kaupandi sannreyni hvort viðmið sé uppfyllt á samningstímabilinu og hann beiti viðeigandi viðurlögum ef viðmið er ekki uppfyllt.</w:t>
            </w:r>
          </w:p>
        </w:tc>
      </w:tr>
      <w:tr w:rsidR="006813BD" w:rsidRPr="00994DE5" w:rsidTr="006813BD">
        <w:tc>
          <w:tcPr>
            <w:tcW w:w="9039" w:type="dxa"/>
            <w:shd w:val="clear" w:color="auto" w:fill="92D050"/>
          </w:tcPr>
          <w:p w:rsidR="006813BD" w:rsidRPr="00994DE5" w:rsidRDefault="006813BD" w:rsidP="00994DE5">
            <w:pPr>
              <w:spacing w:line="276" w:lineRule="auto"/>
              <w:rPr>
                <w:rFonts w:cs="Times New Roman"/>
                <w:szCs w:val="24"/>
              </w:rPr>
            </w:pPr>
            <w:r w:rsidRPr="00994DE5">
              <w:rPr>
                <w:b/>
              </w:rPr>
              <w:t>MATSVIÐMIÐ</w:t>
            </w:r>
          </w:p>
        </w:tc>
      </w:tr>
      <w:tr w:rsidR="006813BD" w:rsidRPr="00994DE5" w:rsidTr="006813BD">
        <w:trPr>
          <w:trHeight w:val="1427"/>
        </w:trPr>
        <w:tc>
          <w:tcPr>
            <w:tcW w:w="9039" w:type="dxa"/>
          </w:tcPr>
          <w:p w:rsidR="006813BD" w:rsidRPr="003A6DBA" w:rsidRDefault="006813BD" w:rsidP="007E3F1A">
            <w:pPr>
              <w:widowControl w:val="0"/>
              <w:autoSpaceDE w:val="0"/>
              <w:autoSpaceDN w:val="0"/>
              <w:adjustRightInd w:val="0"/>
              <w:spacing w:before="120"/>
              <w:rPr>
                <w:b/>
              </w:rPr>
            </w:pPr>
            <w:r>
              <w:rPr>
                <w:b/>
              </w:rPr>
              <w:t>1. Hlutfall viðar og viðartrefja í fullunninni vöru frá sjálfbærum skógum.</w:t>
            </w:r>
            <w:r w:rsidRPr="003A6DBA">
              <w:rPr>
                <w:b/>
              </w:rPr>
              <w:t xml:space="preserve"> </w:t>
            </w:r>
          </w:p>
          <w:p w:rsidR="006813BD" w:rsidRPr="003A6DBA" w:rsidRDefault="006813BD" w:rsidP="007E3F1A">
            <w:pPr>
              <w:spacing w:before="120"/>
            </w:pPr>
            <w:r w:rsidRPr="003A6DBA">
              <w:t xml:space="preserve">Hlutfall viðar, viðartrefja eða viðaragna, í fullunninni vöru, sem koma frá skógum sem staðfest er að sé stjórnað samkvæmt þeim meginreglum og ráðstöfunum sem miða að því að tryggja  sjálfbæra skógarvörslu, en þó eingöngu ef þessi viðmið eiga við um og einkenna </w:t>
            </w:r>
            <w:r w:rsidRPr="003A6DBA">
              <w:lastRenderedPageBreak/>
              <w:t>vöruna.</w:t>
            </w:r>
          </w:p>
          <w:p w:rsidR="006813BD" w:rsidRPr="003A6DBA" w:rsidRDefault="006813BD" w:rsidP="007E3F1A">
            <w:pPr>
              <w:widowControl w:val="0"/>
              <w:autoSpaceDE w:val="0"/>
              <w:autoSpaceDN w:val="0"/>
              <w:adjustRightInd w:val="0"/>
              <w:spacing w:before="120"/>
            </w:pPr>
            <w:r w:rsidRPr="003A6DBA">
              <w:t xml:space="preserve">Í Evrópu skulu framangreindar meginreglur og ráðstafanir a.m.k. vera í samræmi við reglur og ráðstafanir </w:t>
            </w:r>
            <w:proofErr w:type="spellStart"/>
            <w:r w:rsidRPr="003A6DBA">
              <w:t>Sam</w:t>
            </w:r>
            <w:proofErr w:type="spellEnd"/>
            <w:r w:rsidRPr="003A6DBA">
              <w:t>-evrópsku leiðbeininganna um sjálfbæra skógvörslu (</w:t>
            </w:r>
            <w:proofErr w:type="spellStart"/>
            <w:r w:rsidRPr="003A6DBA">
              <w:t>Pan</w:t>
            </w:r>
            <w:proofErr w:type="spellEnd"/>
            <w:r w:rsidRPr="003A6DBA">
              <w:t>-</w:t>
            </w:r>
            <w:proofErr w:type="spellStart"/>
            <w:r w:rsidRPr="003A6DBA">
              <w:t>European</w:t>
            </w:r>
            <w:proofErr w:type="spellEnd"/>
            <w:r w:rsidRPr="003A6DBA">
              <w:t xml:space="preserve"> </w:t>
            </w:r>
            <w:proofErr w:type="spellStart"/>
            <w:r w:rsidRPr="003A6DBA">
              <w:t>Operational</w:t>
            </w:r>
            <w:proofErr w:type="spellEnd"/>
            <w:r w:rsidRPr="003A6DBA">
              <w:t xml:space="preserve"> </w:t>
            </w:r>
            <w:proofErr w:type="spellStart"/>
            <w:r w:rsidRPr="003A6DBA">
              <w:t>Level</w:t>
            </w:r>
            <w:proofErr w:type="spellEnd"/>
            <w:r w:rsidRPr="003A6DBA">
              <w:t xml:space="preserve"> </w:t>
            </w:r>
            <w:proofErr w:type="spellStart"/>
            <w:r w:rsidRPr="003A6DBA">
              <w:t>Guidelines</w:t>
            </w:r>
            <w:proofErr w:type="spellEnd"/>
            <w:r w:rsidRPr="003A6DBA">
              <w:t xml:space="preserve"> for </w:t>
            </w:r>
            <w:proofErr w:type="spellStart"/>
            <w:r w:rsidRPr="003A6DBA">
              <w:t>Sustainable</w:t>
            </w:r>
            <w:proofErr w:type="spellEnd"/>
            <w:r w:rsidRPr="003A6DBA">
              <w:t xml:space="preserve"> </w:t>
            </w:r>
            <w:proofErr w:type="spellStart"/>
            <w:r w:rsidRPr="003A6DBA">
              <w:t>Forest</w:t>
            </w:r>
            <w:proofErr w:type="spellEnd"/>
            <w:r w:rsidRPr="003A6DBA">
              <w:t xml:space="preserve"> </w:t>
            </w:r>
            <w:proofErr w:type="spellStart"/>
            <w:r w:rsidRPr="003A6DBA">
              <w:t>Management</w:t>
            </w:r>
            <w:proofErr w:type="spellEnd"/>
            <w:r w:rsidRPr="003A6DBA">
              <w:t xml:space="preserve">) sem samþykktar voru á ráðherrastefnunni í Lissabon um verndun skóga í Evrópu (2.-4. júní 1998). Utan Evrópu skulu þær a.m.k. vera í samræmi við þær meginreglur sem samþykktar voru á ráðstefnu Sameinuðu Þjóðanna um umhverfi og þróun (UNCED, </w:t>
            </w:r>
            <w:proofErr w:type="spellStart"/>
            <w:r w:rsidRPr="003A6DBA">
              <w:t>Rio</w:t>
            </w:r>
            <w:proofErr w:type="spellEnd"/>
            <w:r w:rsidRPr="003A6DBA">
              <w:t xml:space="preserve"> </w:t>
            </w:r>
            <w:proofErr w:type="spellStart"/>
            <w:r w:rsidRPr="003A6DBA">
              <w:t>de</w:t>
            </w:r>
            <w:proofErr w:type="spellEnd"/>
            <w:r w:rsidRPr="003A6DBA">
              <w:t xml:space="preserve"> </w:t>
            </w:r>
            <w:proofErr w:type="spellStart"/>
            <w:r w:rsidRPr="003A6DBA">
              <w:t>Janeiro</w:t>
            </w:r>
            <w:proofErr w:type="spellEnd"/>
            <w:r w:rsidRPr="003A6DBA">
              <w:t xml:space="preserve">, júní 1992) . Þar sem við eiga tilsvarandi viðmið eða viðmiðunarreglur um sjálfbæra skógvörslu sem samþykkt voru sem liður í alþjóðlegum og svæðisbundnum framtaksverkefnum (verkefnum Alþjóðasamtaka um hitabeltistré (ITTO), Montreal-verkefninu, </w:t>
            </w:r>
            <w:proofErr w:type="spellStart"/>
            <w:r w:rsidRPr="003A6DBA">
              <w:t>Tarapoto</w:t>
            </w:r>
            <w:proofErr w:type="spellEnd"/>
            <w:r w:rsidRPr="003A6DBA">
              <w:t xml:space="preserve">-verkefninu og framtaksverkefni Umhverfisstofnunar Sameinuðu Þjóðanna og Matvæla- og landbúnaðarstofnunar Sameinuðu Þjóðanna um þurr svæði í Afríku (UNEP/FAO </w:t>
            </w:r>
            <w:proofErr w:type="spellStart"/>
            <w:r w:rsidRPr="003A6DBA">
              <w:t>Dry</w:t>
            </w:r>
            <w:proofErr w:type="spellEnd"/>
            <w:r w:rsidRPr="003A6DBA">
              <w:t>-</w:t>
            </w:r>
            <w:proofErr w:type="spellStart"/>
            <w:r w:rsidRPr="003A6DBA">
              <w:t>Zone</w:t>
            </w:r>
            <w:proofErr w:type="spellEnd"/>
            <w:r w:rsidRPr="003A6DBA">
              <w:t xml:space="preserve"> </w:t>
            </w:r>
            <w:proofErr w:type="spellStart"/>
            <w:r w:rsidRPr="003A6DBA">
              <w:t>Africa</w:t>
            </w:r>
            <w:proofErr w:type="spellEnd"/>
            <w:r w:rsidRPr="003A6DBA">
              <w:t xml:space="preserve"> </w:t>
            </w:r>
            <w:proofErr w:type="spellStart"/>
            <w:r w:rsidRPr="003A6DBA">
              <w:t>Initiative</w:t>
            </w:r>
            <w:proofErr w:type="spellEnd"/>
            <w:r w:rsidRPr="003A6DBA">
              <w:t>)).</w:t>
            </w:r>
          </w:p>
          <w:p w:rsidR="006813BD" w:rsidRPr="00B17204" w:rsidRDefault="006813BD" w:rsidP="007E3F1A">
            <w:pPr>
              <w:spacing w:line="276" w:lineRule="auto"/>
              <w:rPr>
                <w:i/>
              </w:rPr>
            </w:pPr>
            <w:r w:rsidRPr="003A6DBA">
              <w:rPr>
                <w:b/>
              </w:rPr>
              <w:t>Staðfesting:</w:t>
            </w:r>
            <w:r w:rsidRPr="003A6DBA">
              <w:t xml:space="preserve"> Vottorð um framleiðslukeðju sem staðfestir að viðartrefjarnar hafi hlotið FSC eða PEFC vottun eða aðrir staðlar fyrir sjálfbæra stjórnun skóga verða samþykktir sem fullnægjandi sönnun. Önnur viðeigandi sönnunargögn, eins og tæknileg málsskjöl framleiðanda eða prófunarskýrslur frá viðurkenndum aðilum verða einnig samþykkt.</w:t>
            </w:r>
          </w:p>
        </w:tc>
      </w:tr>
      <w:tr w:rsidR="006813BD" w:rsidRPr="00994DE5" w:rsidTr="006813BD">
        <w:trPr>
          <w:trHeight w:val="850"/>
        </w:trPr>
        <w:tc>
          <w:tcPr>
            <w:tcW w:w="9039" w:type="dxa"/>
          </w:tcPr>
          <w:p w:rsidR="006813BD" w:rsidRPr="003A6DBA" w:rsidRDefault="006813BD" w:rsidP="007E3F1A">
            <w:pPr>
              <w:widowControl w:val="0"/>
              <w:autoSpaceDE w:val="0"/>
              <w:autoSpaceDN w:val="0"/>
              <w:adjustRightInd w:val="0"/>
              <w:spacing w:before="120"/>
              <w:rPr>
                <w:b/>
              </w:rPr>
            </w:pPr>
            <w:r>
              <w:rPr>
                <w:b/>
              </w:rPr>
              <w:lastRenderedPageBreak/>
              <w:t>2. Viður frá löglegum skógariðnaði</w:t>
            </w:r>
          </w:p>
          <w:p w:rsidR="006813BD" w:rsidRPr="003A6DBA" w:rsidRDefault="006813BD" w:rsidP="007E3F1A">
            <w:pPr>
              <w:widowControl w:val="0"/>
              <w:autoSpaceDE w:val="0"/>
              <w:autoSpaceDN w:val="0"/>
              <w:adjustRightInd w:val="0"/>
              <w:spacing w:before="120"/>
              <w:rPr>
                <w:b/>
                <w:i/>
              </w:rPr>
            </w:pPr>
            <w:r w:rsidRPr="003A6DBA">
              <w:t>Allur viður og allt efni unnið úr viði skal koma frá löglegri skógrækt /skógariðnaði.</w:t>
            </w:r>
          </w:p>
          <w:p w:rsidR="006813BD" w:rsidRPr="003A6DBA" w:rsidRDefault="006813BD" w:rsidP="007E3F1A">
            <w:pPr>
              <w:widowControl w:val="0"/>
              <w:autoSpaceDE w:val="0"/>
              <w:autoSpaceDN w:val="0"/>
              <w:adjustRightInd w:val="0"/>
              <w:spacing w:before="120"/>
            </w:pPr>
            <w:r w:rsidRPr="003A6DBA">
              <w:rPr>
                <w:b/>
              </w:rPr>
              <w:t>Staðfesting:</w:t>
            </w:r>
            <w:r w:rsidRPr="003A6DBA">
              <w:t xml:space="preserve"> Vottorð um framleiðslukeðju sem staðfestir að viðurinn hafi FSC eða PEFC vottun eða önnur sambærileg sönnunargögn, verða samþykkt sem fullnægjandi sönnun. Einnig má staðfesta lögmæti uppruna viðarins með að sýna fram á skjalfestan rekjanleika vörunnar. Skjalfestingarkerfi geta verið vottuð af hálfu þriðja aðila, oft sem hluti af ISO 9000 og/eða ISO 14000 stöðlunum eða EMAS umhverfisstjórnunarkerfi.  Ef viðurinn á uppruna að rekja til lands sem hefur gert „</w:t>
            </w:r>
            <w:proofErr w:type="spellStart"/>
            <w:r w:rsidRPr="003A6DBA">
              <w:t>Volunatary</w:t>
            </w:r>
            <w:proofErr w:type="spellEnd"/>
            <w:r w:rsidRPr="003A6DBA">
              <w:t xml:space="preserve"> </w:t>
            </w:r>
            <w:proofErr w:type="spellStart"/>
            <w:r w:rsidRPr="003A6DBA">
              <w:t>Partnership</w:t>
            </w:r>
            <w:proofErr w:type="spellEnd"/>
            <w:r w:rsidRPr="003A6DBA">
              <w:t xml:space="preserve"> </w:t>
            </w:r>
            <w:proofErr w:type="spellStart"/>
            <w:r w:rsidRPr="003A6DBA">
              <w:t>Agreement</w:t>
            </w:r>
            <w:proofErr w:type="spellEnd"/>
            <w:r w:rsidRPr="003A6DBA">
              <w:t xml:space="preserve">“ (VPA) samning við Evrópusambandið má nota FLEGT leyfið sem sönnun. </w:t>
            </w:r>
          </w:p>
          <w:p w:rsidR="006813BD" w:rsidRPr="00B17204" w:rsidRDefault="006813BD" w:rsidP="007E3F1A">
            <w:pPr>
              <w:spacing w:line="276" w:lineRule="auto"/>
              <w:rPr>
                <w:i/>
              </w:rPr>
            </w:pPr>
            <w:r w:rsidRPr="003A6DBA">
              <w:t xml:space="preserve">Ef um óvottaðan við er að ræða skulu bjóðendur tilgreina tegund, magn og uppruna viðarins sem verður notaður í framleiðslunni auk þess að leggja fram yfirlýsingu um lögmæti hans. Þá skal vera hægt að rekja feril viðarins í gegnum öll framleiðslustig; frá </w:t>
            </w:r>
            <w:r>
              <w:t>skógi</w:t>
            </w:r>
            <w:r w:rsidRPr="003A6DBA">
              <w:t xml:space="preserve"> til fullunninnar vöru. Í sérstökum tilfellum, þar sem sönnunargögnin sem lögð eru fram þykja ekki fullnægjandi, geta samningsyfirvöld farið fram á frekari útskýringar og sannanir.</w:t>
            </w:r>
            <w:r w:rsidRPr="00B17204">
              <w:rPr>
                <w:rFonts w:cs="Times New Roman"/>
                <w:i/>
                <w:szCs w:val="24"/>
              </w:rPr>
              <w:t xml:space="preserve"> </w:t>
            </w:r>
          </w:p>
        </w:tc>
      </w:tr>
      <w:tr w:rsidR="006813BD" w:rsidRPr="00994DE5" w:rsidTr="006813BD">
        <w:trPr>
          <w:trHeight w:val="850"/>
        </w:trPr>
        <w:tc>
          <w:tcPr>
            <w:tcW w:w="9039" w:type="dxa"/>
          </w:tcPr>
          <w:p w:rsidR="006813BD" w:rsidRPr="003A6DBA" w:rsidRDefault="006813BD" w:rsidP="007E3F1A">
            <w:pPr>
              <w:widowControl w:val="0"/>
              <w:autoSpaceDE w:val="0"/>
              <w:autoSpaceDN w:val="0"/>
              <w:adjustRightInd w:val="0"/>
              <w:spacing w:before="120"/>
            </w:pPr>
            <w:r>
              <w:rPr>
                <w:b/>
              </w:rPr>
              <w:t xml:space="preserve">3. </w:t>
            </w:r>
            <w:r w:rsidRPr="003A6DBA">
              <w:rPr>
                <w:b/>
              </w:rPr>
              <w:t>Endurunnin efniviður</w:t>
            </w:r>
          </w:p>
          <w:p w:rsidR="006813BD" w:rsidRPr="003A6DBA" w:rsidRDefault="006813BD" w:rsidP="007E3F1A">
            <w:pPr>
              <w:widowControl w:val="0"/>
              <w:autoSpaceDE w:val="0"/>
              <w:autoSpaceDN w:val="0"/>
              <w:adjustRightInd w:val="0"/>
              <w:spacing w:before="120"/>
            </w:pPr>
            <w:r w:rsidRPr="003A6DBA">
              <w:t>Þyngdarhlutfall endurunninna efna unnin úr viði, plasti og/eða málmi í fullunnu húsgagni.</w:t>
            </w:r>
          </w:p>
          <w:p w:rsidR="006813BD" w:rsidRPr="003A6DBA" w:rsidRDefault="006813BD" w:rsidP="007E3F1A">
            <w:pPr>
              <w:widowControl w:val="0"/>
              <w:autoSpaceDE w:val="0"/>
              <w:autoSpaceDN w:val="0"/>
              <w:adjustRightInd w:val="0"/>
              <w:spacing w:before="120"/>
              <w:rPr>
                <w:b/>
              </w:rPr>
            </w:pPr>
            <w:r w:rsidRPr="006813BD">
              <w:rPr>
                <w:rStyle w:val="A12"/>
                <w:b/>
                <w:sz w:val="24"/>
                <w:szCs w:val="24"/>
              </w:rPr>
              <w:t>Staðfesting</w:t>
            </w:r>
            <w:r w:rsidRPr="006813BD">
              <w:rPr>
                <w:rStyle w:val="A12"/>
                <w:sz w:val="24"/>
                <w:szCs w:val="24"/>
              </w:rPr>
              <w:t xml:space="preserve">: Bjóðendur skulu leggja fram viðeigandi </w:t>
            </w:r>
            <w:r w:rsidRPr="006813BD">
              <w:t xml:space="preserve">gögn </w:t>
            </w:r>
            <w:r w:rsidRPr="003A6DBA">
              <w:t>sem sýna þyngdarhlutfall endurunnins efnivið</w:t>
            </w:r>
            <w:r>
              <w:t>ar</w:t>
            </w:r>
            <w:r w:rsidRPr="003A6DBA">
              <w:t>.</w:t>
            </w:r>
          </w:p>
        </w:tc>
      </w:tr>
      <w:tr w:rsidR="006813BD" w:rsidRPr="00994DE5" w:rsidTr="006813BD">
        <w:trPr>
          <w:trHeight w:val="850"/>
        </w:trPr>
        <w:tc>
          <w:tcPr>
            <w:tcW w:w="9039" w:type="dxa"/>
          </w:tcPr>
          <w:p w:rsidR="006813BD" w:rsidRPr="003A6DBA" w:rsidRDefault="006813BD" w:rsidP="007E3F1A">
            <w:pPr>
              <w:widowControl w:val="0"/>
              <w:autoSpaceDE w:val="0"/>
              <w:autoSpaceDN w:val="0"/>
              <w:adjustRightInd w:val="0"/>
              <w:spacing w:before="120"/>
            </w:pPr>
            <w:r>
              <w:rPr>
                <w:b/>
              </w:rPr>
              <w:t xml:space="preserve">4. </w:t>
            </w:r>
            <w:r w:rsidRPr="003A6DBA">
              <w:rPr>
                <w:b/>
              </w:rPr>
              <w:t>Textílefni</w:t>
            </w:r>
          </w:p>
          <w:p w:rsidR="006813BD" w:rsidRPr="003A6DBA" w:rsidRDefault="006813BD" w:rsidP="007E3F1A">
            <w:pPr>
              <w:widowControl w:val="0"/>
              <w:autoSpaceDE w:val="0"/>
              <w:autoSpaceDN w:val="0"/>
              <w:adjustRightInd w:val="0"/>
              <w:spacing w:before="120"/>
            </w:pPr>
            <w:r w:rsidRPr="003A6DBA">
              <w:t>Varan skal uppfylla [</w:t>
            </w:r>
            <w:r w:rsidRPr="003A6DBA">
              <w:rPr>
                <w:i/>
                <w:color w:val="FF0000"/>
              </w:rPr>
              <w:t>setjið inn tilvísun í lágmarksviðmiðanir úr viðmiðunarskjalinu fyrir textílefni</w:t>
            </w:r>
            <w:r w:rsidRPr="003A6DBA">
              <w:t xml:space="preserve">].  </w:t>
            </w:r>
          </w:p>
          <w:p w:rsidR="006813BD" w:rsidRPr="003A6DBA" w:rsidRDefault="006813BD" w:rsidP="006813BD">
            <w:pPr>
              <w:widowControl w:val="0"/>
              <w:autoSpaceDE w:val="0"/>
              <w:autoSpaceDN w:val="0"/>
              <w:adjustRightInd w:val="0"/>
              <w:spacing w:before="120"/>
              <w:rPr>
                <w:b/>
              </w:rPr>
            </w:pPr>
            <w:r w:rsidRPr="003A6DBA">
              <w:rPr>
                <w:b/>
              </w:rPr>
              <w:t>Staðfesting</w:t>
            </w:r>
            <w:r w:rsidRPr="003A6DBA">
              <w:t xml:space="preserve"> Sé varan vottuð með viðurkenndu umhverfismerki (Tegund I), svo sem norræna Svaninum</w:t>
            </w:r>
            <w:r>
              <w:t xml:space="preserve"> eða </w:t>
            </w:r>
            <w:r w:rsidRPr="003A6DBA">
              <w:t>Evrópublóminu</w:t>
            </w:r>
            <w:r>
              <w:t xml:space="preserve">, </w:t>
            </w:r>
            <w:r w:rsidRPr="003A6DBA">
              <w:t xml:space="preserve">er viðmiðið uppfyllt. Önnur viðeigandi </w:t>
            </w:r>
            <w:r w:rsidRPr="003A6DBA">
              <w:lastRenderedPageBreak/>
              <w:t>sönnunargögn, eins og tæknileg málsskjöl framleiðanda eða prófunarskýrslur frá viðurkenndum aðilum eru einnig samþykkt.</w:t>
            </w:r>
          </w:p>
        </w:tc>
      </w:tr>
      <w:tr w:rsidR="006813BD" w:rsidRPr="00994DE5" w:rsidTr="006813BD">
        <w:trPr>
          <w:trHeight w:val="850"/>
        </w:trPr>
        <w:tc>
          <w:tcPr>
            <w:tcW w:w="9039" w:type="dxa"/>
          </w:tcPr>
          <w:p w:rsidR="006813BD" w:rsidRPr="003A6DBA" w:rsidRDefault="006813BD" w:rsidP="007E3F1A">
            <w:pPr>
              <w:widowControl w:val="0"/>
              <w:autoSpaceDE w:val="0"/>
              <w:autoSpaceDN w:val="0"/>
              <w:adjustRightInd w:val="0"/>
              <w:spacing w:before="120"/>
              <w:rPr>
                <w:b/>
              </w:rPr>
            </w:pPr>
            <w:r>
              <w:rPr>
                <w:b/>
              </w:rPr>
              <w:lastRenderedPageBreak/>
              <w:t xml:space="preserve">5. </w:t>
            </w:r>
            <w:r w:rsidRPr="003A6DBA">
              <w:rPr>
                <w:b/>
              </w:rPr>
              <w:t>Lím og límefni</w:t>
            </w:r>
          </w:p>
          <w:p w:rsidR="006813BD" w:rsidRPr="003A6DBA" w:rsidRDefault="006813BD" w:rsidP="007E3F1A">
            <w:pPr>
              <w:widowControl w:val="0"/>
              <w:autoSpaceDE w:val="0"/>
              <w:autoSpaceDN w:val="0"/>
              <w:adjustRightInd w:val="0"/>
              <w:spacing w:before="120"/>
            </w:pPr>
            <w:r w:rsidRPr="003A6DBA">
              <w:t>Magn rokgjarnra, lífrænna efnasambanda í límefnum, sem notuð eru til samsetningar á húsgögnum, skal ekki vera meira en 10% af þyngd límefnanna.</w:t>
            </w:r>
          </w:p>
          <w:p w:rsidR="006813BD" w:rsidRPr="003A6DBA" w:rsidRDefault="006813BD" w:rsidP="006813BD">
            <w:pPr>
              <w:widowControl w:val="0"/>
              <w:autoSpaceDE w:val="0"/>
              <w:autoSpaceDN w:val="0"/>
              <w:adjustRightInd w:val="0"/>
              <w:spacing w:before="120"/>
              <w:rPr>
                <w:b/>
              </w:rPr>
            </w:pPr>
            <w:r w:rsidRPr="006813BD">
              <w:rPr>
                <w:rStyle w:val="A12"/>
                <w:b/>
                <w:sz w:val="24"/>
                <w:szCs w:val="24"/>
              </w:rPr>
              <w:t>Staðfesting</w:t>
            </w:r>
            <w:r w:rsidRPr="006813BD">
              <w:rPr>
                <w:rStyle w:val="A12"/>
                <w:sz w:val="24"/>
                <w:szCs w:val="24"/>
              </w:rPr>
              <w:t xml:space="preserve">: Bjóðendur skulu leggja fram skrá yfir </w:t>
            </w:r>
            <w:r w:rsidRPr="003A6DBA">
              <w:t>öll þau límefni sem notuð eru við samsetningu</w:t>
            </w:r>
            <w:r w:rsidRPr="003A6DBA">
              <w:rPr>
                <w:rStyle w:val="A12"/>
                <w:szCs w:val="24"/>
              </w:rPr>
              <w:t xml:space="preserve"> húsg</w:t>
            </w:r>
            <w:r w:rsidRPr="003A6DBA">
              <w:t>agnanna, sem og öryggisblöð límefnanna eða svipuð gögn sem sýna magn rokgjarna, lífrænna efnasambanda og að ofangreind viðmið séu uppfyllt. Sé varan vottuð  með viðurkenndu umhverfismerki</w:t>
            </w:r>
            <w:r>
              <w:t xml:space="preserve"> </w:t>
            </w:r>
            <w:r w:rsidRPr="003A6DBA">
              <w:t>(Tegund I), svo sem norræna Svaninum</w:t>
            </w:r>
            <w:r>
              <w:t xml:space="preserve"> eða </w:t>
            </w:r>
            <w:r w:rsidRPr="003A6DBA">
              <w:t>Evrópublóminu, er viðmiðið uppfyllt.</w:t>
            </w:r>
          </w:p>
        </w:tc>
      </w:tr>
      <w:tr w:rsidR="006813BD" w:rsidRPr="00994DE5" w:rsidTr="006813BD">
        <w:trPr>
          <w:trHeight w:val="850"/>
        </w:trPr>
        <w:tc>
          <w:tcPr>
            <w:tcW w:w="9039" w:type="dxa"/>
          </w:tcPr>
          <w:p w:rsidR="006813BD" w:rsidRPr="006813BD" w:rsidRDefault="006813BD" w:rsidP="007E3F1A">
            <w:pPr>
              <w:spacing w:before="120"/>
              <w:rPr>
                <w:b/>
              </w:rPr>
            </w:pPr>
            <w:r w:rsidRPr="006813BD">
              <w:rPr>
                <w:b/>
              </w:rPr>
              <w:t>6. Bólsturefni</w:t>
            </w:r>
          </w:p>
          <w:p w:rsidR="006813BD" w:rsidRPr="006813BD" w:rsidRDefault="006813BD" w:rsidP="006813BD">
            <w:pPr>
              <w:spacing w:before="120"/>
              <w:rPr>
                <w:b/>
                <w:i/>
              </w:rPr>
            </w:pPr>
            <w:r w:rsidRPr="003A6DBA">
              <w:t>[</w:t>
            </w:r>
            <w:r w:rsidRPr="003A6DBA">
              <w:rPr>
                <w:i/>
              </w:rPr>
              <w:t>Um bólsturefni</w:t>
            </w:r>
            <w:r w:rsidRPr="003A6DBA">
              <w:t xml:space="preserve">] </w:t>
            </w:r>
            <w:r w:rsidRPr="003A6DBA">
              <w:rPr>
                <w:b/>
              </w:rPr>
              <w:t>Viðmið umhverfismerkis fyrir bólsturefni</w:t>
            </w:r>
            <w:r>
              <w:rPr>
                <w:b/>
                <w:i/>
              </w:rPr>
              <w:t xml:space="preserve">. </w:t>
            </w:r>
            <w:r w:rsidRPr="003A6DBA">
              <w:t xml:space="preserve">Bólstursefnið skal uppfylla viðmið umhverfismerkis Evrópubandalagsins. Fáanlegt hér: </w:t>
            </w:r>
          </w:p>
          <w:p w:rsidR="006813BD" w:rsidRPr="00624B02" w:rsidRDefault="006813BD" w:rsidP="007E3F1A">
            <w:pPr>
              <w:widowControl w:val="0"/>
              <w:autoSpaceDE w:val="0"/>
              <w:autoSpaceDN w:val="0"/>
              <w:adjustRightInd w:val="0"/>
              <w:spacing w:before="120"/>
            </w:pPr>
            <w:r w:rsidRPr="00624B02">
              <w:t>http://eur-lex.europa.eu/LexUriServ/LexUriServ.do?uri=OJ:L: 00 : 36:00 0:00 5:EN:PDF) .</w:t>
            </w:r>
          </w:p>
          <w:p w:rsidR="006813BD" w:rsidRPr="003A6DBA" w:rsidRDefault="006813BD" w:rsidP="006813BD">
            <w:pPr>
              <w:widowControl w:val="0"/>
              <w:autoSpaceDE w:val="0"/>
              <w:autoSpaceDN w:val="0"/>
              <w:adjustRightInd w:val="0"/>
              <w:spacing w:before="120"/>
              <w:rPr>
                <w:b/>
              </w:rPr>
            </w:pPr>
            <w:r w:rsidRPr="00624B02">
              <w:rPr>
                <w:b/>
              </w:rPr>
              <w:t xml:space="preserve">Staðfesting: </w:t>
            </w:r>
            <w:r w:rsidRPr="003A6DBA">
              <w:t>Sé varan merkt með viðurkenndu umhverfismerki (Tegund I), svo sem norræna Svaninum</w:t>
            </w:r>
            <w:r>
              <w:t xml:space="preserve"> eða</w:t>
            </w:r>
            <w:r w:rsidRPr="003A6DBA">
              <w:t xml:space="preserve"> Evrópublóminu, er það fullnægjandi staðfesting á að umhverfisviðmið séu uppfyllt. Önnur viðeigandi sönnunargögn, eins og tæknileg málsskjöl framleiðanda eða prófunarskýrslur frá viðurkenndum aðilum eru einnig samþykkt.</w:t>
            </w:r>
          </w:p>
        </w:tc>
      </w:tr>
      <w:tr w:rsidR="006813BD" w:rsidRPr="00994DE5" w:rsidTr="006813BD">
        <w:trPr>
          <w:trHeight w:val="850"/>
        </w:trPr>
        <w:tc>
          <w:tcPr>
            <w:tcW w:w="9039" w:type="dxa"/>
          </w:tcPr>
          <w:p w:rsidR="006813BD" w:rsidRPr="003A6DBA" w:rsidRDefault="006813BD" w:rsidP="007E3F1A">
            <w:pPr>
              <w:spacing w:before="120"/>
              <w:rPr>
                <w:b/>
              </w:rPr>
            </w:pPr>
            <w:r>
              <w:rPr>
                <w:b/>
              </w:rPr>
              <w:t xml:space="preserve">7. </w:t>
            </w:r>
            <w:r w:rsidRPr="003A6DBA">
              <w:rPr>
                <w:b/>
              </w:rPr>
              <w:t>Ending, viðgerðarmöguleikar, notagildi og vinnuvistfræði</w:t>
            </w:r>
          </w:p>
          <w:p w:rsidR="006813BD" w:rsidRPr="003A6DBA" w:rsidRDefault="006813BD" w:rsidP="007E3F1A">
            <w:pPr>
              <w:spacing w:before="120"/>
            </w:pPr>
            <w:r w:rsidRPr="003A6DBA">
              <w:t>Húsgögn skulu uppfylla [</w:t>
            </w:r>
            <w:r w:rsidRPr="003A6DBA">
              <w:rPr>
                <w:i/>
              </w:rPr>
              <w:t>setjið inn viðeigandi lands/alþjóða gæðastaðla</w:t>
            </w:r>
            <w:r w:rsidRPr="003A6DBA">
              <w:t>] eða sambærilegan staðal varðandi nothæfi (t.d. öryggi, slitstyrk, togþol, litheldni, núningsheldni, aflögun við samþjöppun, vinnuvistfræði).</w:t>
            </w:r>
          </w:p>
          <w:p w:rsidR="006813BD" w:rsidRPr="003A6DBA" w:rsidRDefault="006813BD" w:rsidP="007E3F1A">
            <w:pPr>
              <w:widowControl w:val="0"/>
              <w:autoSpaceDE w:val="0"/>
              <w:autoSpaceDN w:val="0"/>
              <w:adjustRightInd w:val="0"/>
              <w:spacing w:before="120"/>
            </w:pPr>
            <w:r w:rsidRPr="006813BD">
              <w:rPr>
                <w:rStyle w:val="A12"/>
                <w:b/>
                <w:sz w:val="24"/>
                <w:szCs w:val="24"/>
              </w:rPr>
              <w:t>Staðfesting</w:t>
            </w:r>
            <w:r w:rsidRPr="006813BD">
              <w:rPr>
                <w:rStyle w:val="A12"/>
                <w:sz w:val="24"/>
                <w:szCs w:val="24"/>
              </w:rPr>
              <w:t xml:space="preserve">: Bjóðendur skulu leggja fram viðeigandi </w:t>
            </w:r>
            <w:r w:rsidRPr="003A6DBA">
              <w:t>gögn sem sýna fram á fylgni við ofangreinda staðla.</w:t>
            </w:r>
          </w:p>
          <w:p w:rsidR="006813BD" w:rsidRPr="003A6DBA" w:rsidRDefault="006813BD" w:rsidP="007E3F1A">
            <w:pPr>
              <w:widowControl w:val="0"/>
              <w:autoSpaceDE w:val="0"/>
              <w:autoSpaceDN w:val="0"/>
              <w:adjustRightInd w:val="0"/>
              <w:spacing w:before="120"/>
              <w:rPr>
                <w:b/>
              </w:rPr>
            </w:pPr>
            <w:r w:rsidRPr="003A6DBA">
              <w:rPr>
                <w:b/>
              </w:rPr>
              <w:t>Athugasemd</w:t>
            </w:r>
            <w:r w:rsidRPr="003A6DBA">
              <w:t>: Hér getur kaupandi/útboðsaðili skilgreint hvaða gæðastaðla eigi að nota varðandi endingu og gæði viðkomandi húsgagna.</w:t>
            </w:r>
          </w:p>
        </w:tc>
      </w:tr>
      <w:tr w:rsidR="006813BD" w:rsidRPr="00994DE5" w:rsidTr="006813BD">
        <w:trPr>
          <w:trHeight w:val="850"/>
        </w:trPr>
        <w:tc>
          <w:tcPr>
            <w:tcW w:w="9039" w:type="dxa"/>
          </w:tcPr>
          <w:p w:rsidR="006813BD" w:rsidRPr="003A6DBA" w:rsidRDefault="006813BD" w:rsidP="007E3F1A">
            <w:pPr>
              <w:widowControl w:val="0"/>
              <w:autoSpaceDE w:val="0"/>
              <w:autoSpaceDN w:val="0"/>
              <w:adjustRightInd w:val="0"/>
              <w:spacing w:before="120"/>
              <w:rPr>
                <w:b/>
              </w:rPr>
            </w:pPr>
            <w:r>
              <w:rPr>
                <w:b/>
              </w:rPr>
              <w:t xml:space="preserve">8. </w:t>
            </w:r>
            <w:r w:rsidRPr="003A6DBA">
              <w:rPr>
                <w:b/>
              </w:rPr>
              <w:t>Umbúðir</w:t>
            </w:r>
          </w:p>
          <w:p w:rsidR="006813BD" w:rsidRPr="003A6DBA" w:rsidRDefault="006813BD" w:rsidP="007E3F1A">
            <w:pPr>
              <w:widowControl w:val="0"/>
              <w:autoSpaceDE w:val="0"/>
              <w:autoSpaceDN w:val="0"/>
              <w:adjustRightInd w:val="0"/>
              <w:spacing w:before="120"/>
            </w:pPr>
            <w:r w:rsidRPr="003A6DBA">
              <w:t>Umbúðir skulu gerðar úr endurunnu efni, og/eða úr endurnýjanlegu hráefni eða vera fjölnota umbúðir.</w:t>
            </w:r>
          </w:p>
          <w:p w:rsidR="006813BD" w:rsidRPr="003A6DBA" w:rsidRDefault="006813BD" w:rsidP="007E3F1A">
            <w:pPr>
              <w:widowControl w:val="0"/>
              <w:autoSpaceDE w:val="0"/>
              <w:autoSpaceDN w:val="0"/>
              <w:adjustRightInd w:val="0"/>
              <w:spacing w:before="120"/>
            </w:pPr>
            <w:r w:rsidRPr="003A6DBA">
              <w:t>Allt umbúðaefni skal vera auðvelt að hluta í sundur í endurvinnanlega hluti sem samanstanda af einu efni (t.d. pappi, pappír, plast, textíll).</w:t>
            </w:r>
          </w:p>
          <w:p w:rsidR="006813BD" w:rsidRPr="003A6DBA" w:rsidRDefault="006813BD" w:rsidP="007E3F1A">
            <w:pPr>
              <w:widowControl w:val="0"/>
              <w:autoSpaceDE w:val="0"/>
              <w:autoSpaceDN w:val="0"/>
              <w:adjustRightInd w:val="0"/>
              <w:spacing w:before="120"/>
              <w:rPr>
                <w:b/>
              </w:rPr>
            </w:pPr>
            <w:r w:rsidRPr="006813BD">
              <w:rPr>
                <w:rStyle w:val="A12"/>
                <w:b/>
                <w:sz w:val="24"/>
                <w:szCs w:val="24"/>
              </w:rPr>
              <w:t>Staðfesting</w:t>
            </w:r>
            <w:r w:rsidRPr="006813BD">
              <w:rPr>
                <w:rStyle w:val="A12"/>
                <w:sz w:val="24"/>
                <w:szCs w:val="24"/>
              </w:rPr>
              <w:t>: Bjóðendur skulu að leggja fram lýsingu á umbúðaefnum ásamt sambærilegri yfirlýsingu um að ofangreind viðmið séu uppfyllt.</w:t>
            </w:r>
          </w:p>
        </w:tc>
      </w:tr>
    </w:tbl>
    <w:p w:rsidR="00AD29A1" w:rsidRPr="00AD29A1" w:rsidRDefault="00AD29A1" w:rsidP="00AD29A1"/>
    <w:sectPr w:rsidR="00AD29A1" w:rsidRPr="00AD29A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1A" w:rsidRDefault="007E3F1A" w:rsidP="00F51B15">
      <w:pPr>
        <w:spacing w:after="0" w:line="240" w:lineRule="auto"/>
      </w:pPr>
      <w:r>
        <w:separator/>
      </w:r>
    </w:p>
  </w:endnote>
  <w:endnote w:type="continuationSeparator" w:id="0">
    <w:p w:rsidR="007E3F1A" w:rsidRDefault="007E3F1A" w:rsidP="00F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1A" w:rsidRDefault="007E3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1A" w:rsidRPr="00F51B15" w:rsidRDefault="007E3F1A" w:rsidP="00F51B15">
    <w:pPr>
      <w:pStyle w:val="Footer"/>
      <w:jc w:val="right"/>
      <w:rPr>
        <w:sz w:val="22"/>
      </w:rPr>
    </w:pPr>
    <w:r w:rsidRPr="00F51B15">
      <w:rPr>
        <w:noProof/>
        <w:sz w:val="22"/>
      </w:rPr>
      <w:fldChar w:fldCharType="begin"/>
    </w:r>
    <w:r w:rsidRPr="00F51B15">
      <w:rPr>
        <w:noProof/>
        <w:sz w:val="22"/>
      </w:rPr>
      <w:instrText xml:space="preserve"> PAGE  \* Arabic  \* MERGEFORMAT </w:instrText>
    </w:r>
    <w:r w:rsidRPr="00F51B15">
      <w:rPr>
        <w:noProof/>
        <w:sz w:val="22"/>
      </w:rPr>
      <w:fldChar w:fldCharType="separate"/>
    </w:r>
    <w:r w:rsidR="006A0CF5">
      <w:rPr>
        <w:noProof/>
        <w:sz w:val="22"/>
      </w:rPr>
      <w:t>2</w:t>
    </w:r>
    <w:r w:rsidRPr="00F51B15">
      <w:rPr>
        <w:noProof/>
        <w:sz w:val="22"/>
      </w:rPr>
      <w:fldChar w:fldCharType="end"/>
    </w:r>
    <w:r w:rsidRPr="00F51B15">
      <w:rPr>
        <w:noProof/>
        <w:sz w:val="22"/>
      </w:rPr>
      <w:t xml:space="preserve"> / </w:t>
    </w:r>
    <w:r w:rsidRPr="00F51B15">
      <w:rPr>
        <w:noProof/>
        <w:sz w:val="22"/>
      </w:rPr>
      <w:fldChar w:fldCharType="begin"/>
    </w:r>
    <w:r w:rsidRPr="00F51B15">
      <w:rPr>
        <w:noProof/>
        <w:sz w:val="22"/>
      </w:rPr>
      <w:instrText xml:space="preserve"> NUMPAGES  \* Arabic  \* MERGEFORMAT </w:instrText>
    </w:r>
    <w:r w:rsidRPr="00F51B15">
      <w:rPr>
        <w:noProof/>
        <w:sz w:val="22"/>
      </w:rPr>
      <w:fldChar w:fldCharType="separate"/>
    </w:r>
    <w:r w:rsidR="006A0CF5">
      <w:rPr>
        <w:noProof/>
        <w:sz w:val="22"/>
      </w:rPr>
      <w:t>5</w:t>
    </w:r>
    <w:r w:rsidRPr="00F51B1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1A" w:rsidRDefault="007E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1A" w:rsidRDefault="007E3F1A" w:rsidP="00F51B15">
      <w:pPr>
        <w:spacing w:after="0" w:line="240" w:lineRule="auto"/>
      </w:pPr>
      <w:r>
        <w:separator/>
      </w:r>
    </w:p>
  </w:footnote>
  <w:footnote w:type="continuationSeparator" w:id="0">
    <w:p w:rsidR="007E3F1A" w:rsidRDefault="007E3F1A" w:rsidP="00F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1A" w:rsidRDefault="007E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1A" w:rsidRDefault="007E3F1A">
    <w:pPr>
      <w:pStyle w:val="Header"/>
      <w:rPr>
        <w:color w:val="808080" w:themeColor="background1" w:themeShade="80"/>
      </w:rPr>
    </w:pPr>
    <w:r>
      <w:rPr>
        <w:noProof/>
        <w:color w:val="808080" w:themeColor="background1" w:themeShade="80"/>
        <w:lang w:eastAsia="is-IS"/>
      </w:rPr>
      <w:drawing>
        <wp:inline distT="0" distB="0" distL="0" distR="0" wp14:anchorId="3143FFA6" wp14:editId="18B341DF">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7E3F1A" w:rsidRPr="000A49FB" w:rsidRDefault="007E3F1A">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1A" w:rsidRDefault="007E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9A"/>
    <w:multiLevelType w:val="hybridMultilevel"/>
    <w:tmpl w:val="2E8878DA"/>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1B2F20E5"/>
    <w:multiLevelType w:val="hybridMultilevel"/>
    <w:tmpl w:val="D66A6000"/>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1FF685D"/>
    <w:multiLevelType w:val="hybridMultilevel"/>
    <w:tmpl w:val="4C1C66A0"/>
    <w:lvl w:ilvl="0" w:tplc="15D8696C">
      <w:start w:val="1"/>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4006B1D"/>
    <w:multiLevelType w:val="multilevel"/>
    <w:tmpl w:val="BEEE575E"/>
    <w:lvl w:ilvl="0">
      <w:start w:val="1"/>
      <w:numFmt w:val="decimal"/>
      <w:pStyle w:val="Headline1"/>
      <w:lvlText w:val="%1."/>
      <w:lvlJc w:val="left"/>
      <w:pPr>
        <w:tabs>
          <w:tab w:val="num" w:pos="432"/>
        </w:tabs>
        <w:ind w:left="432" w:hanging="432"/>
      </w:pPr>
      <w:rPr>
        <w:rFonts w:ascii="Times New Roman" w:hAnsi="Times New Roman" w:hint="default"/>
        <w:b w:val="0"/>
        <w:i w:val="0"/>
        <w:sz w:val="52"/>
        <w:lang w:val="en-GB"/>
      </w:rPr>
    </w:lvl>
    <w:lvl w:ilvl="1">
      <w:start w:val="1"/>
      <w:numFmt w:val="decimal"/>
      <w:pStyle w:val="Headline2"/>
      <w:lvlText w:val="%1.%2."/>
      <w:lvlJc w:val="left"/>
      <w:pPr>
        <w:tabs>
          <w:tab w:val="num" w:pos="576"/>
        </w:tabs>
        <w:ind w:left="576" w:hanging="576"/>
      </w:pPr>
      <w:rPr>
        <w:rFonts w:ascii="Times New Roman" w:hAnsi="Times New Roman" w:hint="default"/>
        <w:b w:val="0"/>
        <w:i w:val="0"/>
        <w:sz w:val="32"/>
      </w:rPr>
    </w:lvl>
    <w:lvl w:ilvl="2">
      <w:start w:val="1"/>
      <w:numFmt w:val="decimal"/>
      <w:pStyle w:val="Headline3"/>
      <w:lvlText w:val="%1.%2.%3."/>
      <w:lvlJc w:val="left"/>
      <w:pPr>
        <w:tabs>
          <w:tab w:val="num" w:pos="720"/>
        </w:tabs>
        <w:ind w:left="720" w:hanging="720"/>
      </w:pPr>
      <w:rPr>
        <w:rFonts w:ascii="Times New Roman" w:hAnsi="Times New Roman" w:hint="default"/>
        <w:b w:val="0"/>
        <w:i/>
        <w:sz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3"/>
  </w:num>
  <w:num w:numId="4">
    <w:abstractNumId w:val="3"/>
  </w:num>
  <w:num w:numId="5">
    <w:abstractNumId w:val="7"/>
  </w:num>
  <w:num w:numId="6">
    <w:abstractNumId w:val="2"/>
  </w:num>
  <w:num w:numId="7">
    <w:abstractNumId w:val="10"/>
  </w:num>
  <w:num w:numId="8">
    <w:abstractNumId w:val="17"/>
  </w:num>
  <w:num w:numId="9">
    <w:abstractNumId w:val="16"/>
  </w:num>
  <w:num w:numId="10">
    <w:abstractNumId w:val="12"/>
  </w:num>
  <w:num w:numId="11">
    <w:abstractNumId w:val="9"/>
  </w:num>
  <w:num w:numId="12">
    <w:abstractNumId w:val="14"/>
  </w:num>
  <w:num w:numId="13">
    <w:abstractNumId w:val="6"/>
  </w:num>
  <w:num w:numId="14">
    <w:abstractNumId w:val="8"/>
  </w:num>
  <w:num w:numId="15">
    <w:abstractNumId w:val="5"/>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8"/>
    <w:rsid w:val="000A49FB"/>
    <w:rsid w:val="002A0F11"/>
    <w:rsid w:val="002A1C87"/>
    <w:rsid w:val="002F57F8"/>
    <w:rsid w:val="003373AF"/>
    <w:rsid w:val="00560742"/>
    <w:rsid w:val="006813BD"/>
    <w:rsid w:val="006A0CF5"/>
    <w:rsid w:val="006D10AA"/>
    <w:rsid w:val="007566D8"/>
    <w:rsid w:val="007D3928"/>
    <w:rsid w:val="007E3F1A"/>
    <w:rsid w:val="00957923"/>
    <w:rsid w:val="00961437"/>
    <w:rsid w:val="00980979"/>
    <w:rsid w:val="00994DE5"/>
    <w:rsid w:val="009F6A84"/>
    <w:rsid w:val="00AC62B2"/>
    <w:rsid w:val="00AD29A1"/>
    <w:rsid w:val="00B17204"/>
    <w:rsid w:val="00BA286C"/>
    <w:rsid w:val="00DA346D"/>
    <w:rsid w:val="00F404FF"/>
    <w:rsid w:val="00F43E05"/>
    <w:rsid w:val="00F51B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customStyle="1" w:styleId="Headline2">
    <w:name w:val="Headline 2"/>
    <w:basedOn w:val="Headline1"/>
    <w:autoRedefine/>
    <w:rsid w:val="007E3F1A"/>
    <w:pPr>
      <w:keepNext w:val="0"/>
      <w:pageBreakBefore w:val="0"/>
      <w:numPr>
        <w:ilvl w:val="1"/>
      </w:numPr>
      <w:spacing w:before="360" w:after="240" w:line="320" w:lineRule="exact"/>
      <w:ind w:left="578" w:hanging="578"/>
    </w:pPr>
    <w:rPr>
      <w:rFonts w:ascii="Times New Roman" w:hAnsi="Times New Roman"/>
      <w:sz w:val="28"/>
      <w:lang w:val="en-GB"/>
    </w:rPr>
  </w:style>
  <w:style w:type="paragraph" w:customStyle="1" w:styleId="Headline3">
    <w:name w:val="Headline 3"/>
    <w:autoRedefine/>
    <w:rsid w:val="007E3F1A"/>
    <w:pPr>
      <w:keepNext/>
      <w:numPr>
        <w:ilvl w:val="2"/>
        <w:numId w:val="16"/>
      </w:numPr>
      <w:suppressAutoHyphens/>
      <w:spacing w:before="440" w:after="120" w:line="280" w:lineRule="exact"/>
    </w:pPr>
    <w:rPr>
      <w:rFonts w:ascii="Times New Roman" w:eastAsia="Times New Roman" w:hAnsi="Times New Roman" w:cs="Times New Roman"/>
      <w:i/>
      <w:szCs w:val="20"/>
      <w:lang w:val="en-US" w:eastAsia="da-DK"/>
    </w:rPr>
  </w:style>
  <w:style w:type="paragraph" w:customStyle="1" w:styleId="Headline1">
    <w:name w:val="Headline 1"/>
    <w:basedOn w:val="Normal"/>
    <w:autoRedefine/>
    <w:rsid w:val="007E3F1A"/>
    <w:pPr>
      <w:keepNext/>
      <w:pageBreakBefore/>
      <w:numPr>
        <w:numId w:val="16"/>
      </w:numPr>
      <w:tabs>
        <w:tab w:val="left" w:pos="680"/>
      </w:tabs>
      <w:suppressAutoHyphens/>
      <w:spacing w:after="1120" w:line="440" w:lineRule="exact"/>
      <w:ind w:left="431" w:hanging="431"/>
    </w:pPr>
    <w:rPr>
      <w:rFonts w:ascii="TimesNewRoman" w:eastAsia="Times New Roman" w:hAnsi="TimesNewRoman" w:cs="Times New Roman"/>
      <w:sz w:val="48"/>
      <w:szCs w:val="20"/>
      <w:lang w:val="de-DE" w:eastAsia="da-DK"/>
    </w:rPr>
  </w:style>
  <w:style w:type="paragraph" w:customStyle="1" w:styleId="Headline5">
    <w:name w:val="Headline5"/>
    <w:basedOn w:val="Normal"/>
    <w:autoRedefine/>
    <w:rsid w:val="007E3F1A"/>
    <w:pPr>
      <w:spacing w:before="120" w:line="280" w:lineRule="exact"/>
      <w:ind w:right="62"/>
    </w:pPr>
    <w:rPr>
      <w:rFonts w:eastAsia="Times New Roman" w:cs="Times New Roman"/>
      <w:b/>
      <w:i/>
      <w:lang w:val="en-GB" w:eastAsia="da-DK" w:bidi="hi-IN"/>
    </w:rPr>
  </w:style>
  <w:style w:type="character" w:customStyle="1" w:styleId="A12">
    <w:name w:val="A12"/>
    <w:rsid w:val="007E3F1A"/>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customStyle="1" w:styleId="Headline2">
    <w:name w:val="Headline 2"/>
    <w:basedOn w:val="Headline1"/>
    <w:autoRedefine/>
    <w:rsid w:val="007E3F1A"/>
    <w:pPr>
      <w:keepNext w:val="0"/>
      <w:pageBreakBefore w:val="0"/>
      <w:numPr>
        <w:ilvl w:val="1"/>
      </w:numPr>
      <w:spacing w:before="360" w:after="240" w:line="320" w:lineRule="exact"/>
      <w:ind w:left="578" w:hanging="578"/>
    </w:pPr>
    <w:rPr>
      <w:rFonts w:ascii="Times New Roman" w:hAnsi="Times New Roman"/>
      <w:sz w:val="28"/>
      <w:lang w:val="en-GB"/>
    </w:rPr>
  </w:style>
  <w:style w:type="paragraph" w:customStyle="1" w:styleId="Headline3">
    <w:name w:val="Headline 3"/>
    <w:autoRedefine/>
    <w:rsid w:val="007E3F1A"/>
    <w:pPr>
      <w:keepNext/>
      <w:numPr>
        <w:ilvl w:val="2"/>
        <w:numId w:val="16"/>
      </w:numPr>
      <w:suppressAutoHyphens/>
      <w:spacing w:before="440" w:after="120" w:line="280" w:lineRule="exact"/>
    </w:pPr>
    <w:rPr>
      <w:rFonts w:ascii="Times New Roman" w:eastAsia="Times New Roman" w:hAnsi="Times New Roman" w:cs="Times New Roman"/>
      <w:i/>
      <w:szCs w:val="20"/>
      <w:lang w:val="en-US" w:eastAsia="da-DK"/>
    </w:rPr>
  </w:style>
  <w:style w:type="paragraph" w:customStyle="1" w:styleId="Headline1">
    <w:name w:val="Headline 1"/>
    <w:basedOn w:val="Normal"/>
    <w:autoRedefine/>
    <w:rsid w:val="007E3F1A"/>
    <w:pPr>
      <w:keepNext/>
      <w:pageBreakBefore/>
      <w:numPr>
        <w:numId w:val="16"/>
      </w:numPr>
      <w:tabs>
        <w:tab w:val="left" w:pos="680"/>
      </w:tabs>
      <w:suppressAutoHyphens/>
      <w:spacing w:after="1120" w:line="440" w:lineRule="exact"/>
      <w:ind w:left="431" w:hanging="431"/>
    </w:pPr>
    <w:rPr>
      <w:rFonts w:ascii="TimesNewRoman" w:eastAsia="Times New Roman" w:hAnsi="TimesNewRoman" w:cs="Times New Roman"/>
      <w:sz w:val="48"/>
      <w:szCs w:val="20"/>
      <w:lang w:val="de-DE" w:eastAsia="da-DK"/>
    </w:rPr>
  </w:style>
  <w:style w:type="paragraph" w:customStyle="1" w:styleId="Headline5">
    <w:name w:val="Headline5"/>
    <w:basedOn w:val="Normal"/>
    <w:autoRedefine/>
    <w:rsid w:val="007E3F1A"/>
    <w:pPr>
      <w:spacing w:before="120" w:line="280" w:lineRule="exact"/>
      <w:ind w:right="62"/>
    </w:pPr>
    <w:rPr>
      <w:rFonts w:eastAsia="Times New Roman" w:cs="Times New Roman"/>
      <w:b/>
      <w:i/>
      <w:lang w:val="en-GB" w:eastAsia="da-DK" w:bidi="hi-IN"/>
    </w:rPr>
  </w:style>
  <w:style w:type="character" w:customStyle="1" w:styleId="A12">
    <w:name w:val="A12"/>
    <w:rsid w:val="007E3F1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inn.i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35F0-094B-4EA9-B733-A240316C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8</cp:revision>
  <cp:lastPrinted>2012-08-01T11:43:00Z</cp:lastPrinted>
  <dcterms:created xsi:type="dcterms:W3CDTF">2012-07-30T13:14:00Z</dcterms:created>
  <dcterms:modified xsi:type="dcterms:W3CDTF">2012-08-01T12:02:00Z</dcterms:modified>
</cp:coreProperties>
</file>